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99F57" w14:textId="77777777" w:rsidR="00C56462" w:rsidRPr="00CF1828" w:rsidRDefault="00C56462" w:rsidP="00CF1828">
      <w:pPr>
        <w:jc w:val="both"/>
        <w:rPr>
          <w:rFonts w:ascii="Times New Roman" w:hAnsi="Times New Roman" w:cs="Times New Roman"/>
          <w:color w:val="002060"/>
          <w:lang w:eastAsia="pl-PL"/>
        </w:rPr>
      </w:pPr>
      <w:r w:rsidRPr="00214FB4">
        <w:rPr>
          <w:rFonts w:ascii="Times New Roman" w:hAnsi="Times New Roman" w:cs="Times New Roman"/>
          <w:b/>
          <w:bCs/>
          <w:color w:val="7030A0"/>
          <w:lang w:eastAsia="pl-PL"/>
        </w:rPr>
        <w:t xml:space="preserve">Usługi księgowe a umowa o dzieło - </w:t>
      </w:r>
      <w:r w:rsidRPr="00214FB4">
        <w:rPr>
          <w:rFonts w:ascii="Times New Roman" w:hAnsi="Times New Roman" w:cs="Times New Roman"/>
          <w:bCs/>
          <w:color w:val="7030A0"/>
          <w:lang w:eastAsia="pl-PL"/>
        </w:rPr>
        <w:t xml:space="preserve">dr Michał P. </w:t>
      </w:r>
      <w:proofErr w:type="spellStart"/>
      <w:r w:rsidRPr="00214FB4">
        <w:rPr>
          <w:rFonts w:ascii="Times New Roman" w:hAnsi="Times New Roman" w:cs="Times New Roman"/>
          <w:bCs/>
          <w:color w:val="7030A0"/>
          <w:lang w:eastAsia="pl-PL"/>
        </w:rPr>
        <w:t>Ziemiak</w:t>
      </w:r>
      <w:proofErr w:type="spellEnd"/>
      <w:r w:rsidRPr="00214FB4">
        <w:rPr>
          <w:rFonts w:ascii="Times New Roman" w:hAnsi="Times New Roman" w:cs="Times New Roman"/>
          <w:bCs/>
          <w:color w:val="7030A0"/>
          <w:lang w:eastAsia="pl-PL"/>
        </w:rPr>
        <w:t>, radca prawny</w:t>
      </w:r>
    </w:p>
    <w:p w14:paraId="4D72A672" w14:textId="77777777" w:rsidR="00C56462" w:rsidRPr="00CF1828" w:rsidRDefault="00C56462" w:rsidP="00CF1828">
      <w:pPr>
        <w:jc w:val="both"/>
        <w:rPr>
          <w:rFonts w:ascii="Times New Roman" w:hAnsi="Times New Roman" w:cs="Times New Roman"/>
          <w:lang w:eastAsia="pl-PL"/>
        </w:rPr>
      </w:pPr>
    </w:p>
    <w:p w14:paraId="42683516" w14:textId="77777777" w:rsidR="00C56462" w:rsidRPr="00CF1828" w:rsidRDefault="00C56462" w:rsidP="00CF1828">
      <w:pPr>
        <w:jc w:val="both"/>
        <w:rPr>
          <w:rFonts w:ascii="Times New Roman" w:hAnsi="Times New Roman" w:cs="Times New Roman"/>
          <w:color w:val="FF2600"/>
          <w:lang w:eastAsia="pl-PL"/>
        </w:rPr>
      </w:pPr>
      <w:r w:rsidRPr="00CF1828">
        <w:rPr>
          <w:rFonts w:ascii="Times New Roman" w:hAnsi="Times New Roman" w:cs="Times New Roman"/>
          <w:b/>
          <w:bCs/>
          <w:color w:val="FF2600"/>
          <w:lang w:eastAsia="pl-PL"/>
        </w:rPr>
        <w:t>Wyrok Sądu Najwyższego (Izba Pracy, Ubezpieczeń Społecznych i Spraw Publicznych) z dnia 12 grudnia 2017 r., I UK 26/17</w:t>
      </w:r>
    </w:p>
    <w:p w14:paraId="32C96662" w14:textId="77777777" w:rsidR="00C56462" w:rsidRPr="00CF1828" w:rsidRDefault="00C56462" w:rsidP="00CF1828">
      <w:pPr>
        <w:jc w:val="both"/>
        <w:rPr>
          <w:rFonts w:ascii="Times New Roman" w:hAnsi="Times New Roman" w:cs="Times New Roman"/>
          <w:lang w:eastAsia="pl-PL"/>
        </w:rPr>
      </w:pPr>
    </w:p>
    <w:p w14:paraId="73698BD3"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Prace polegające na powtarzalnych usługach z zakresu księgowości sprzeciwiają się możliwości uznania ich za wykonanie dzieła, bowiem nie prowadzą do powstania obiektywnie istniejącego dzieła, a są nastawione na staranne wykonywanie czynności, a nie uzyskanie określonego rezultatu. Nie mamy do czynienia z właściwościami podmiotowymi, które z uwagi na posiadane przymioty mogą prowadzić do uzyskania indywidualnego rezultatu.</w:t>
      </w:r>
    </w:p>
    <w:p w14:paraId="33260FC5" w14:textId="77777777" w:rsidR="00C56462" w:rsidRPr="00CF1828" w:rsidRDefault="00C56462" w:rsidP="00CF1828">
      <w:pPr>
        <w:jc w:val="both"/>
        <w:rPr>
          <w:rFonts w:ascii="Times New Roman" w:hAnsi="Times New Roman" w:cs="Times New Roman"/>
          <w:lang w:eastAsia="pl-PL"/>
        </w:rPr>
      </w:pPr>
    </w:p>
    <w:p w14:paraId="5637C49E"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Systematyczne wykonywanie typowych usług z zakresu księgowości sprzeciwia się możliwości uznania ich za dzieło w rozumieniu art. 627 KC.</w:t>
      </w:r>
    </w:p>
    <w:p w14:paraId="347EC940" w14:textId="77777777" w:rsidR="00C56462" w:rsidRPr="00CF1828" w:rsidRDefault="00C56462" w:rsidP="00CF1828">
      <w:pPr>
        <w:jc w:val="both"/>
        <w:rPr>
          <w:rFonts w:ascii="Times New Roman" w:hAnsi="Times New Roman" w:cs="Times New Roman"/>
          <w:lang w:eastAsia="pl-PL"/>
        </w:rPr>
      </w:pPr>
    </w:p>
    <w:p w14:paraId="7EFB6CA5" w14:textId="77777777" w:rsidR="00C56462" w:rsidRPr="00CF1828" w:rsidRDefault="00C56462" w:rsidP="00CF1828">
      <w:pPr>
        <w:spacing w:before="75"/>
        <w:jc w:val="both"/>
        <w:rPr>
          <w:rFonts w:ascii="Times New Roman" w:hAnsi="Times New Roman" w:cs="Times New Roman"/>
          <w:color w:val="FF2600"/>
          <w:lang w:eastAsia="pl-PL"/>
        </w:rPr>
      </w:pPr>
      <w:r w:rsidRPr="00CF1828">
        <w:rPr>
          <w:rFonts w:ascii="Times New Roman" w:hAnsi="Times New Roman" w:cs="Times New Roman"/>
          <w:b/>
          <w:bCs/>
          <w:color w:val="FF2600"/>
          <w:lang w:eastAsia="pl-PL"/>
        </w:rPr>
        <w:t>Najważniejsze fragmenty uzasadnienia wyroku </w:t>
      </w:r>
    </w:p>
    <w:p w14:paraId="0E83F253" w14:textId="77777777" w:rsidR="00C56462" w:rsidRPr="00CF1828" w:rsidRDefault="00C56462" w:rsidP="00CF1828">
      <w:pPr>
        <w:spacing w:before="75"/>
        <w:jc w:val="both"/>
        <w:rPr>
          <w:rFonts w:ascii="Times New Roman" w:hAnsi="Times New Roman" w:cs="Times New Roman"/>
          <w:color w:val="FF2600"/>
          <w:lang w:eastAsia="pl-PL"/>
        </w:rPr>
      </w:pPr>
    </w:p>
    <w:p w14:paraId="76F421B5"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Wyrokiem z dnia 25 maja 2016 r. Sąd Apelacyjny w K. oddalił apelacje B. S. i B. N. od wyroku Sądu Okręgowego w K. z dnia 28 maja 2015 r., oddalającego odwołania od decyzji ZUS Oddziału w C. z dnia 10 października 2014 r.</w:t>
      </w:r>
    </w:p>
    <w:p w14:paraId="0EBE0881" w14:textId="77777777" w:rsidR="00C56462" w:rsidRPr="00CF1828" w:rsidRDefault="00C56462" w:rsidP="00CF1828">
      <w:pPr>
        <w:jc w:val="both"/>
        <w:rPr>
          <w:rFonts w:ascii="Times New Roman" w:hAnsi="Times New Roman" w:cs="Times New Roman"/>
          <w:lang w:eastAsia="pl-PL"/>
        </w:rPr>
      </w:pPr>
    </w:p>
    <w:p w14:paraId="2B58F822"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Sąd Apelacyjny zaaprobował ustalenia faktyczne dokonane przez Sąd I instancji. Zamykały się one stwierdzeniem, że B. S. prowadzi pozarolniczą działalność gospodarczą (serwis urządzeń grzewczych Junkers (…) w K.). U tego pracodawcy była zatrudniona także B. N., na stanowisku księgowej w pełnym wymiarze czasu pracy. W 2002 r. B. N. uzyskała prawo do renty </w:t>
      </w:r>
      <w:r w:rsidRPr="00147CFD">
        <w:rPr>
          <w:rFonts w:ascii="Times New Roman" w:hAnsi="Times New Roman" w:cs="Times New Roman"/>
          <w:lang w:eastAsia="pl-PL"/>
        </w:rPr>
        <w:t xml:space="preserve">z tytułu niezdolności do pracy, a następnie nabyła prawo do emerytury. W okresie od dnia 14 września 2012 r. do dnia 30 grudnia 2013 r. B. S. (dalej jako </w:t>
      </w:r>
      <w:r w:rsidRPr="00147CFD">
        <w:rPr>
          <w:rFonts w:ascii="Times New Roman" w:hAnsi="Times New Roman" w:cs="Times New Roman"/>
          <w:bCs/>
          <w:lang w:eastAsia="pl-PL"/>
        </w:rPr>
        <w:t>„płatnik”</w:t>
      </w:r>
      <w:r w:rsidRPr="00147CFD">
        <w:rPr>
          <w:rFonts w:ascii="Times New Roman" w:hAnsi="Times New Roman" w:cs="Times New Roman"/>
          <w:lang w:eastAsia="pl-PL"/>
        </w:rPr>
        <w:t xml:space="preserve">) i B. N. (dalej jako </w:t>
      </w:r>
      <w:r w:rsidRPr="00147CFD">
        <w:rPr>
          <w:rFonts w:ascii="Times New Roman" w:hAnsi="Times New Roman" w:cs="Times New Roman"/>
          <w:bCs/>
          <w:lang w:eastAsia="pl-PL"/>
        </w:rPr>
        <w:t>„ubezpieczona”</w:t>
      </w:r>
      <w:r w:rsidRPr="00147CFD">
        <w:rPr>
          <w:rFonts w:ascii="Times New Roman" w:hAnsi="Times New Roman" w:cs="Times New Roman"/>
          <w:lang w:eastAsia="pl-PL"/>
        </w:rPr>
        <w:t>) zawarły szereg umów, nazwanych umowami o dzieło, których przedmiotem było: księgowanie dokumentów, kontrola dokumentów księgowych, uzgodnienia księgowe, księgowanie bieżących faktur, sporządzanie</w:t>
      </w:r>
      <w:r w:rsidRPr="00CF1828">
        <w:rPr>
          <w:rFonts w:ascii="Times New Roman" w:hAnsi="Times New Roman" w:cs="Times New Roman"/>
          <w:lang w:eastAsia="pl-PL"/>
        </w:rPr>
        <w:t xml:space="preserve"> deklaracji ZUS, kwartalne sprawdzanie dokumentów księgowych związanych z podatkiem dochodowym i VAT oraz prowadzenie i kontrola księgi przychodów i rozchodów z rejestru VAT, sprawdzanie dokumentacji pracowniczej, sporządzanie list płac, kontrola i uzupełnianie akt osobowych pracowników, kompletacja dokumentów związanych z urlopem macierzyńskim, opieką nad dzieckiem i zwolnieniami lekarskimi. Ubezpieczona część pracy wykonywała w domu, a część w siedzibie firmy. Miała pełną swobodę wyboru godzin pracy.</w:t>
      </w:r>
    </w:p>
    <w:p w14:paraId="0F33FDD5" w14:textId="77777777" w:rsidR="00C56462" w:rsidRPr="00CF1828" w:rsidRDefault="00C56462" w:rsidP="00CF1828">
      <w:pPr>
        <w:jc w:val="both"/>
        <w:rPr>
          <w:rFonts w:ascii="Times New Roman" w:hAnsi="Times New Roman" w:cs="Times New Roman"/>
          <w:lang w:eastAsia="pl-PL"/>
        </w:rPr>
      </w:pPr>
    </w:p>
    <w:p w14:paraId="589D80CF"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Tak ustalone okoliczności faktyczne, prowadzą zdaniem Sądu Apelacyjnego, do aprobaty dokonanej przez Sąd Okręgowy wykładni prawa materialnego. Przede wszystkim Sąd odwoławczy nie podzielił zarzutu naruszenia art. 734 § 1 KC i art. 627 KC. W jego ocenie, ubezpieczona w ramach spornych umów nie przyjmowała na siebie obowiązku wykonania dzieła, lecz zobowiązała się do wykonywania w określonym czasie powtarzalnych czynności. Przede wszystkim w umowach nie dokonano w sposób zindywidualizowany określenia konkretnego dzieła, a jedynie określano prace, polegające na prowadzeniu spraw księgowych, kadrowych. Z natury rzeczy polegały one na wykonaniu szeregu czynności w żaden sposób bliżej w umowie niesprecyzowanych, bez wyodrębnionego rezultatu. Tak ukształtowane zobowiązanie oddaje naturę stosunku prawnego, jaki został przyjęty przez Sąd Okręgowy. Konsekwencją zawarcia umów o świadczenie usług był obowiązek płatnika do zgłoszenia ubezpieczonej do ubezpieczenia społecznego z mocy art. 6 ust. 1 pkt 4 ustawy z dnia 13 października 1998 r. o systemie ubezpieczeń społecznych (dalej jako </w:t>
      </w:r>
      <w:r w:rsidRPr="00CF1828">
        <w:rPr>
          <w:rFonts w:ascii="Times New Roman" w:hAnsi="Times New Roman" w:cs="Times New Roman"/>
          <w:b/>
          <w:bCs/>
          <w:lang w:eastAsia="pl-PL"/>
        </w:rPr>
        <w:t>„ustawa systemowa”</w:t>
      </w:r>
      <w:r w:rsidRPr="00CF1828">
        <w:rPr>
          <w:rFonts w:ascii="Times New Roman" w:hAnsi="Times New Roman" w:cs="Times New Roman"/>
          <w:lang w:eastAsia="pl-PL"/>
        </w:rPr>
        <w:t>). Z tych względów apelacje podlegały oddaleniu z mocy art. 385 KPC.</w:t>
      </w:r>
    </w:p>
    <w:p w14:paraId="2D637A63" w14:textId="77777777" w:rsidR="00C56462" w:rsidRPr="00CF1828" w:rsidRDefault="00C56462" w:rsidP="00CF1828">
      <w:pPr>
        <w:jc w:val="both"/>
        <w:rPr>
          <w:rFonts w:ascii="Times New Roman" w:hAnsi="Times New Roman" w:cs="Times New Roman"/>
          <w:lang w:eastAsia="pl-PL"/>
        </w:rPr>
      </w:pPr>
    </w:p>
    <w:p w14:paraId="5C5B0519"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Od wyroku Sądu Apelacyjnego skargę kasacyjną wywiodła ubezpieczona oraz płatnik składek, zaskarżając wyrok w całości i zarzucając m.in. naruszenie prawa materialnego, tj.:</w:t>
      </w:r>
    </w:p>
    <w:p w14:paraId="76525D10" w14:textId="77777777" w:rsidR="00CF1828" w:rsidRDefault="00CF1828" w:rsidP="00CF1828">
      <w:pPr>
        <w:pStyle w:val="Akapitzlist"/>
        <w:jc w:val="both"/>
        <w:rPr>
          <w:rFonts w:ascii="Times New Roman" w:eastAsia="Times New Roman" w:hAnsi="Times New Roman" w:cs="Times New Roman"/>
          <w:lang w:eastAsia="pl-PL"/>
        </w:rPr>
      </w:pPr>
    </w:p>
    <w:p w14:paraId="2ADF87D2" w14:textId="28BD0415" w:rsidR="00C56462" w:rsidRPr="00CF1828" w:rsidRDefault="00C56462" w:rsidP="00CF1828">
      <w:pPr>
        <w:pStyle w:val="Akapitzlist"/>
        <w:numPr>
          <w:ilvl w:val="0"/>
          <w:numId w:val="1"/>
        </w:numPr>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art. 734 § 1 KC w związku z art. 750 KC przez ich niewłaściwe zastosowanie i uznanie, iż zawarte umowy są umowami nienazwanymi o świadczenie usług, podczas gdy sporne umowy realizują wszelkie elementy umowy o dzieło, a tym samym wadliwe zastosowanie art. 6 ust. 1 pkt 4, art. 12 ust. 1 i art. 13 pkt ustawy systemowej;</w:t>
      </w:r>
    </w:p>
    <w:p w14:paraId="5C6A40CE" w14:textId="3272D093" w:rsidR="00C56462" w:rsidRPr="00CF1828" w:rsidRDefault="00C56462" w:rsidP="00CF1828">
      <w:pPr>
        <w:numPr>
          <w:ilvl w:val="0"/>
          <w:numId w:val="1"/>
        </w:numPr>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art. 627 KC przez jego niezastosowanie i uznanie, że ubezpieczona u płatnika składek nie wykonywała pracy na podstawie umowy o dzieło;</w:t>
      </w:r>
    </w:p>
    <w:p w14:paraId="7344FD8B" w14:textId="70EE5FAC" w:rsidR="00C56462" w:rsidRPr="00CF1828" w:rsidRDefault="00C56462" w:rsidP="00CF1828">
      <w:pPr>
        <w:numPr>
          <w:ilvl w:val="0"/>
          <w:numId w:val="1"/>
        </w:numPr>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art. 65 § 2 KC w związku z art. 353</w:t>
      </w:r>
      <w:r w:rsidRPr="00CF1828">
        <w:rPr>
          <w:rFonts w:ascii="Times New Roman" w:eastAsia="Times New Roman" w:hAnsi="Times New Roman" w:cs="Times New Roman"/>
          <w:vertAlign w:val="superscript"/>
          <w:lang w:eastAsia="pl-PL"/>
        </w:rPr>
        <w:t>1</w:t>
      </w:r>
      <w:r w:rsidRPr="00CF1828">
        <w:rPr>
          <w:rFonts w:ascii="Times New Roman" w:eastAsia="Times New Roman" w:hAnsi="Times New Roman" w:cs="Times New Roman"/>
          <w:lang w:eastAsia="pl-PL"/>
        </w:rPr>
        <w:t xml:space="preserve"> KC przez jego niezastosowanie i pominięcie zgodnego zamiaru stron przy realizacji zasady swobody umów.</w:t>
      </w:r>
    </w:p>
    <w:p w14:paraId="38BFAE1D" w14:textId="77777777" w:rsidR="00C56462" w:rsidRPr="00CF1828" w:rsidRDefault="00C56462" w:rsidP="00CF1828">
      <w:pPr>
        <w:jc w:val="both"/>
        <w:rPr>
          <w:rFonts w:ascii="Times New Roman" w:hAnsi="Times New Roman" w:cs="Times New Roman"/>
          <w:lang w:eastAsia="pl-PL"/>
        </w:rPr>
      </w:pPr>
    </w:p>
    <w:p w14:paraId="2C8768AD"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Cs/>
          <w:lang w:eastAsia="pl-PL"/>
        </w:rPr>
        <w:t>Sąd Najwyższy przyjął, że skarga nie ma uzasadnionych podstaw i w konsekwencji ją oddalił. </w:t>
      </w:r>
    </w:p>
    <w:p w14:paraId="61C77C07" w14:textId="77777777" w:rsidR="00C56462" w:rsidRPr="00CF1828" w:rsidRDefault="00C56462" w:rsidP="00CF1828">
      <w:pPr>
        <w:jc w:val="both"/>
        <w:rPr>
          <w:rFonts w:ascii="Times New Roman" w:hAnsi="Times New Roman" w:cs="Times New Roman"/>
          <w:lang w:eastAsia="pl-PL"/>
        </w:rPr>
      </w:pPr>
    </w:p>
    <w:p w14:paraId="3CEE07D0"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Zdaniem SN przedmiotowa sprawa wpisuje się w sekwencję licznych sporów na tle prawidłowej delimitacji umów prawa cywilnego. Chodzi o umowę o dzieło i umowę o świadczenie usług, do której stosuje się odpowiednio przepisy o zleceniu. Przyczyna tych sporów nie znajduje samoistnego usprawiedliwienia w treści norm prawa materialnego. Już wstępna diagnoza ujawnia, że Tytuły XV i XXI Kodeksu cywilnego nie mieszczą się w zbiorze przepisów podlegających w ostatnim czasie nowelizacjom, co więcej art. 627 KC, art. 734 i art. 750 KC nie były zmieniane od czasu ich wejścia w życie. Zdaniem SN upoważnia to do konstatacji, że dotychczasowe stanowisko doktryny i judykatury wypracowało wystarczające standardy i kryteria odróżniające oba kontrakty prawa cywilnego. Tym samym trudno dopatrzyć się w sprawie poważnych wątpliwości, czy też rozbieżności w orzecznictwie sądów, o oczywistej zasadności skargi kasacyjnej nie wspominając. Odmienne orzeczenia i ich wnioski mogą wynikać wyłączenie z odrębnych stanów faktycznych.</w:t>
      </w:r>
    </w:p>
    <w:p w14:paraId="12AE864A" w14:textId="77777777" w:rsidR="00C56462" w:rsidRPr="00CF1828" w:rsidRDefault="00C56462" w:rsidP="00CF1828">
      <w:pPr>
        <w:jc w:val="both"/>
        <w:rPr>
          <w:rFonts w:ascii="Times New Roman" w:hAnsi="Times New Roman" w:cs="Times New Roman"/>
          <w:lang w:eastAsia="pl-PL"/>
        </w:rPr>
      </w:pPr>
    </w:p>
    <w:p w14:paraId="4C62828C"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SN przyjął, że w ostatnich latach wykonywanie pracy na podstawie umów prawa cywilnego stało się </w:t>
      </w:r>
      <w:r w:rsidRPr="00CF1828">
        <w:rPr>
          <w:rFonts w:ascii="Times New Roman" w:hAnsi="Times New Roman" w:cs="Times New Roman"/>
          <w:i/>
          <w:iCs/>
          <w:lang w:eastAsia="pl-PL"/>
        </w:rPr>
        <w:t>de facto</w:t>
      </w:r>
      <w:r w:rsidRPr="00CF1828">
        <w:rPr>
          <w:rFonts w:ascii="Times New Roman" w:hAnsi="Times New Roman" w:cs="Times New Roman"/>
          <w:lang w:eastAsia="pl-PL"/>
        </w:rPr>
        <w:t xml:space="preserve"> podstawowym źródłem dochodów i utrzymania dla coraz większej liczby osób. Dzieje się tak niezależnie od wzmocnienia pozycji pracownika przez dodanie art. 22 § 1</w:t>
      </w:r>
      <w:r w:rsidRPr="00CF1828">
        <w:rPr>
          <w:rFonts w:ascii="Times New Roman" w:hAnsi="Times New Roman" w:cs="Times New Roman"/>
          <w:vertAlign w:val="superscript"/>
          <w:lang w:eastAsia="pl-PL"/>
        </w:rPr>
        <w:t>1</w:t>
      </w:r>
      <w:r w:rsidRPr="00CF1828">
        <w:rPr>
          <w:rFonts w:ascii="Times New Roman" w:hAnsi="Times New Roman" w:cs="Times New Roman"/>
          <w:lang w:eastAsia="pl-PL"/>
        </w:rPr>
        <w:t>KP czy też art. 22 § 1</w:t>
      </w:r>
      <w:r w:rsidRPr="00CF1828">
        <w:rPr>
          <w:rFonts w:ascii="Times New Roman" w:hAnsi="Times New Roman" w:cs="Times New Roman"/>
          <w:vertAlign w:val="superscript"/>
          <w:lang w:eastAsia="pl-PL"/>
        </w:rPr>
        <w:t>2</w:t>
      </w:r>
      <w:r w:rsidRPr="00CF1828">
        <w:rPr>
          <w:rFonts w:ascii="Times New Roman" w:hAnsi="Times New Roman" w:cs="Times New Roman"/>
          <w:lang w:eastAsia="pl-PL"/>
        </w:rPr>
        <w:t xml:space="preserve"> KP. Równolegle ustawodawca modyfikował zasady podlegania ubezpieczeniu społecznemu z tytułu umowy zlecenia, co wyraźnie widać po nowelizacji art. 6 ust. 1 pkt 4 ustawy systemowej. Aktualnie jedynie umowa o dzieło nie rodzi obowiązku ubezpieczenia społecznego (za wyjątkiem art. 8 ust. 2a ustawy systemowej), a zatem jej koszt jest niższy od innych kontraktów.</w:t>
      </w:r>
    </w:p>
    <w:p w14:paraId="7A372181" w14:textId="77777777" w:rsidR="00C56462" w:rsidRPr="00CF1828" w:rsidRDefault="00C56462" w:rsidP="00CF1828">
      <w:pPr>
        <w:jc w:val="both"/>
        <w:rPr>
          <w:rFonts w:ascii="Times New Roman" w:hAnsi="Times New Roman" w:cs="Times New Roman"/>
          <w:lang w:eastAsia="pl-PL"/>
        </w:rPr>
      </w:pPr>
    </w:p>
    <w:p w14:paraId="300D3A3D"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Zdaniem SN, Sąd drugiej instancji poprawnie sporządził pisemne motywy zaskarżonego orzeczenia, w których wyjaśnił powody, dla których nie znalazł podstaw do konstatacji zgodnej z postawą skarżących. W sprawach, w których stan faktyczny nie jest skomplikowany, a apelacja koncentruje się na wadliwym przyjęciu istnienia umowy o świadczenie usług zamiast umowy o dzieło, Sąd drugiej instancji nie ma obowiązku przytaczania wszelkich poglądów doktryny i judykatury, dotyczących cech dzieła, zwłaszcza gdy uczynił to Sąd pierwszej instancji. Stąd zaakcentowanie wybranych parametrów oceny umowy (brak wyodrębnienia przedmiotu dzieła, brak rezultatu) jest trafną techniką rozstrzygnięcia sporu.</w:t>
      </w:r>
    </w:p>
    <w:p w14:paraId="0680110D" w14:textId="77777777" w:rsidR="00C56462" w:rsidRPr="00CF1828" w:rsidRDefault="00C56462" w:rsidP="00CF1828">
      <w:pPr>
        <w:jc w:val="both"/>
        <w:rPr>
          <w:rFonts w:ascii="Times New Roman" w:hAnsi="Times New Roman" w:cs="Times New Roman"/>
          <w:lang w:eastAsia="pl-PL"/>
        </w:rPr>
      </w:pPr>
    </w:p>
    <w:p w14:paraId="7A1ADFDC"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SN stanął na stanowisku, że Sąd Apelacyjny przesądził szereg okoliczności mieszczącej się w sferze faktów. Zaakceptował ustalenie, że przedmiotem umów (zawartych w okresie od dnia 14 września 2012 r. do dnia 30 grudnia 2013 r.) było księgowanie dokumentów w tym </w:t>
      </w:r>
      <w:r w:rsidRPr="00CF1828">
        <w:rPr>
          <w:rFonts w:ascii="Times New Roman" w:hAnsi="Times New Roman" w:cs="Times New Roman"/>
          <w:lang w:eastAsia="pl-PL"/>
        </w:rPr>
        <w:lastRenderedPageBreak/>
        <w:t>faktur i ich kontrola, sporządzanie deklaracji do organu rentowego, prowadzenie i kontrola księgi przychodów i rozchodów, kontrola i uzupełnianie akt osobowych pracowników.</w:t>
      </w:r>
    </w:p>
    <w:p w14:paraId="740AE757" w14:textId="77777777" w:rsidR="00C56462" w:rsidRPr="00CF1828" w:rsidRDefault="00C56462" w:rsidP="00CF1828">
      <w:pPr>
        <w:jc w:val="both"/>
        <w:rPr>
          <w:rFonts w:ascii="Times New Roman" w:hAnsi="Times New Roman" w:cs="Times New Roman"/>
          <w:lang w:eastAsia="pl-PL"/>
        </w:rPr>
      </w:pPr>
    </w:p>
    <w:p w14:paraId="6159EE83"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SN przyjął, w rezultacie, że z tak zestawionych obowiązków nie wynikają cechy indywidualizujące finalny efekt pracy ubezpieczonej, a tym samym nie przystają twierdzenia skarżących, że przedmiotem umów było osiągnięcie indywidualnie oznaczonego rezultatu, przy zachowaniu pełnej swobody w wykonaniu dzieła, o twórczej inwencji własnej wykonującej pracę nie wspominając. Oceny tej nie zmienia, odwołanie się Sądu Apelacyjnego do wybranych trzech umów zawartych z B. N., bowiem zakres jej prac nie ulegał zmianie, a o rodzaju zawartej umowy nie decyduje zakres wykonywanej czynności, to jest czy chodzi o uzupełnianie akt osobowych, czy księgowanie faktur, etc.</w:t>
      </w:r>
    </w:p>
    <w:p w14:paraId="522005CF" w14:textId="77777777" w:rsidR="00C56462" w:rsidRPr="00CF1828" w:rsidRDefault="00C56462" w:rsidP="00CF1828">
      <w:pPr>
        <w:jc w:val="both"/>
        <w:rPr>
          <w:rFonts w:ascii="Times New Roman" w:hAnsi="Times New Roman" w:cs="Times New Roman"/>
          <w:lang w:eastAsia="pl-PL"/>
        </w:rPr>
      </w:pPr>
    </w:p>
    <w:p w14:paraId="318BB775"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SN podkreślił też, że w okresie poprzedzającym sporne umowy B. N. była pracownikiem B. S.. Ten argument polaryzuje stanowisko o indywidualnym charakterze działania wykonującej pracę, gdyż zasadniczo przedmiot działania (poprzednio pracownika a obecnie wykonawcy) nie różnił się. W tej sytuacji poszukiwanie autonomicznych podstaw parametrów dzieła w rozumieniu Kodeksu cywilnego, skazane jest na niepowodzenie. Wszak przedmiotem umów były powtarzające się czynności, a nie ich rezultat. (por. wyrok Sądu Najwyższego z dnia 13 czerwca 2012 r., II UK 308/11). Oznacza to, że w sprawie nie doszło do niewłaściwego zastosowania art. 627 KC. Zobowiązanie z art. 627 KC polega na wykonaniu nie jakiegokolwiek dzieła, ale na realizacji dzieła oznaczonego. Nie ma przy tym wątpliwości, że „oznaczenie” następuje pierwotnie w trakcie układania postanowień umownych. Przy umowie zlecenia nacisk położono nie na „oznaczenie” efektu, ale na „określenie” kategorii czynności prawnej (usługi) podlegającej wykonaniu. Doszło zatem w umowie o dzieło do przesunięcia punktu ciężkości z aspektu czynnościowego na finalny. Ważne jest jednak, że między „oznaczeniem” a rezultatem pracy istnieje ścisły wektor zależności. Nie można zrealizować dzieła, jeśli nie zostało ono umownie wytyczone. W przeciwnym razie, niemożliwe będzie poddanie „dzieła” sprawdzianowi w zakresie wad fizycznych (por. wyrok Sądu Najwyższego z dnia 10 stycznia 2017 r., III UK 53/16).</w:t>
      </w:r>
    </w:p>
    <w:p w14:paraId="5809D480" w14:textId="77777777" w:rsidR="00C56462" w:rsidRPr="00CF1828" w:rsidRDefault="00C56462" w:rsidP="00CF1828">
      <w:pPr>
        <w:jc w:val="both"/>
        <w:rPr>
          <w:rFonts w:ascii="Times New Roman" w:hAnsi="Times New Roman" w:cs="Times New Roman"/>
          <w:lang w:eastAsia="pl-PL"/>
        </w:rPr>
      </w:pPr>
    </w:p>
    <w:p w14:paraId="0C2A19E8"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SN zauważył co prawda, że w uzasadnieniu skargi zwraca się uwagę, że rezultat był możliwy do osiągnięcia przez wykonanie określonego nakładu pracy, niemniej w opinii SN tak ujęty argument nie uzasadnia zgłoszonych zarzutów prawa materialnego. Przecież zwykle zespół wykonanych czynności prowadzi do określonego wyniku, efektu, co jednak nie jest wyłącznie atrybutem umowy o dzieło. Z kolei by wykonanie pracy miało miejsce w tym reżimie konieczne jest zachowanie określonych formuł. Nie jest decydującym miejsce wykonywania pracy (siedziba zamawiającego czy też siedziba wykonawcy), w pewnym stopniu o sposobie działania może świadczyć wykonanie pracy z własnych materiałów, albo z powierzonych przez podmiot zatrudniający. W końcu problematyka osiągnięcia określonego (wiadomego z góry) rezultatu nie przemawia na korzyść skarżącej, skoro przedmiotem umowy (umów) był zestaw określonych czynności, bez możliwości podmiotowej indywidualizacji wyboru wykonawcy, skoro jego zadania sprowadzały się do typowych (codziennych) czynności związanych z obsługą podmiotu prowadzącego działalność gospodarczą. Stąd przyjmująca zamówienie zobowiązywała się jedynie do starannego przeprowadzenia wszystkich czynności z zakresu księgowości, nie przyjmując na siebie odpowiedzialności za ich rezultat. Takiemu zobowiązaniu nie można przypisać cech (</w:t>
      </w:r>
      <w:proofErr w:type="spellStart"/>
      <w:r w:rsidRPr="00CF1828">
        <w:rPr>
          <w:rFonts w:ascii="Times New Roman" w:hAnsi="Times New Roman" w:cs="Times New Roman"/>
          <w:i/>
          <w:iCs/>
          <w:lang w:eastAsia="pl-PL"/>
        </w:rPr>
        <w:t>essentialiae</w:t>
      </w:r>
      <w:proofErr w:type="spellEnd"/>
      <w:r w:rsidRPr="00CF1828">
        <w:rPr>
          <w:rFonts w:ascii="Times New Roman" w:hAnsi="Times New Roman" w:cs="Times New Roman"/>
          <w:i/>
          <w:iCs/>
          <w:lang w:eastAsia="pl-PL"/>
        </w:rPr>
        <w:t xml:space="preserve"> </w:t>
      </w:r>
      <w:proofErr w:type="spellStart"/>
      <w:r w:rsidRPr="00CF1828">
        <w:rPr>
          <w:rFonts w:ascii="Times New Roman" w:hAnsi="Times New Roman" w:cs="Times New Roman"/>
          <w:i/>
          <w:iCs/>
          <w:lang w:eastAsia="pl-PL"/>
        </w:rPr>
        <w:t>negotii</w:t>
      </w:r>
      <w:proofErr w:type="spellEnd"/>
      <w:r w:rsidRPr="00CF1828">
        <w:rPr>
          <w:rFonts w:ascii="Times New Roman" w:hAnsi="Times New Roman" w:cs="Times New Roman"/>
          <w:lang w:eastAsia="pl-PL"/>
        </w:rPr>
        <w:t xml:space="preserve">) umowy o dzieło, a oczekiwania stron towarzyszące zawieraniu i wykonywaniu umów nazywanych przez nich umowami o dzieło, mogły się zrealizować wyłącznie jako elementy innej umowy – umowy zlecenia lub innej umowy o świadczenie usług, regulowane w art. 750 KC. Przemawia za tym również długookresowe powierzenie wykonywanych prac, oparte na powtarzalnym wykonywaniu </w:t>
      </w:r>
      <w:r w:rsidRPr="00CF1828">
        <w:rPr>
          <w:rFonts w:ascii="Times New Roman" w:hAnsi="Times New Roman" w:cs="Times New Roman"/>
          <w:lang w:eastAsia="pl-PL"/>
        </w:rPr>
        <w:lastRenderedPageBreak/>
        <w:t>wpisów w dokumentach księgowych, w zależności od potrzeb zamawiającego i aktualnej operacji związanej z profilem działalności zatrudniającego. Oczywiste jest, że przy każdej czynności z zakresu księgowości dobór metody jej uzewnętrznienia może być inny, ale nie zmienia to typowej usługi w wymagany efekt. Wkład w postaci wysiłku umysłowego wymagany jest przy wielu pracach umysłowych i może być poczytany jako obowiązek starannego działania, co zresztą przy tego typu pracy jest jej istotą. Strona skarżąca nie udokumentowała, by przygotowanie do pracy zostało poprzedzone przygotowaniem nowatorskich schematów działania, materiałów w oparciu o które następnie działała B. N. Z tego względu nie można mówić, że idea jej zatrudnienia opierała się na wytworzeniu rzeczy oznaczonych co do tożsamości. Dzieło oznaczone jako zamówienie musi odpowiadać osobistym potrzebom, upodobaniom, czy też wymaganiom zamawiającego. Prawidłowe wykonanie pracy (w każdym reżimie pożądane przez dającego zamówienie) nie przekonuje w sferze właściwości świadczenia pracy w myśl wzorca z art. 627 KC.</w:t>
      </w:r>
    </w:p>
    <w:p w14:paraId="46307FDF" w14:textId="77777777" w:rsidR="00C56462" w:rsidRPr="00CF1828" w:rsidRDefault="00C56462" w:rsidP="00CF1828">
      <w:pPr>
        <w:jc w:val="both"/>
        <w:rPr>
          <w:rFonts w:ascii="Times New Roman" w:hAnsi="Times New Roman" w:cs="Times New Roman"/>
          <w:lang w:eastAsia="pl-PL"/>
        </w:rPr>
      </w:pPr>
    </w:p>
    <w:p w14:paraId="4DA65664"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W nawiązaniu do poglądów doktryny SN dodał, że poszukiwanie kryterium umożliwiającego odróżnienie zlecenia od umowy o dzieło sprowadza się do oceny czy chodzi o: rezultat działania, rozkład ryzyka związanego z zawarciem i wykonaniem zobowiązania, jego trwałość, czy też jego unikatowość (szerzej: Bogusław </w:t>
      </w:r>
      <w:proofErr w:type="spellStart"/>
      <w:r w:rsidRPr="00CF1828">
        <w:rPr>
          <w:rFonts w:ascii="Times New Roman" w:hAnsi="Times New Roman" w:cs="Times New Roman"/>
          <w:lang w:eastAsia="pl-PL"/>
        </w:rPr>
        <w:t>Lackoroński</w:t>
      </w:r>
      <w:proofErr w:type="spellEnd"/>
      <w:r w:rsidRPr="00CF1828">
        <w:rPr>
          <w:rFonts w:ascii="Times New Roman" w:hAnsi="Times New Roman" w:cs="Times New Roman"/>
          <w:lang w:eastAsia="pl-PL"/>
        </w:rPr>
        <w:t xml:space="preserve">, </w:t>
      </w:r>
      <w:r w:rsidRPr="00CF1828">
        <w:rPr>
          <w:rFonts w:ascii="Times New Roman" w:hAnsi="Times New Roman" w:cs="Times New Roman"/>
          <w:i/>
          <w:iCs/>
          <w:lang w:eastAsia="pl-PL"/>
        </w:rPr>
        <w:t>Zlecenie a umowa o dzieło w systemie ubezpieczeń społecznych – perspektywa cywilnoprawna</w:t>
      </w:r>
      <w:r w:rsidRPr="00CF1828">
        <w:rPr>
          <w:rFonts w:ascii="Times New Roman" w:hAnsi="Times New Roman" w:cs="Times New Roman"/>
          <w:lang w:eastAsia="pl-PL"/>
        </w:rPr>
        <w:t xml:space="preserve"> (-) w: Marzena Szabłowska – </w:t>
      </w:r>
      <w:proofErr w:type="spellStart"/>
      <w:r w:rsidRPr="00CF1828">
        <w:rPr>
          <w:rFonts w:ascii="Times New Roman" w:hAnsi="Times New Roman" w:cs="Times New Roman"/>
          <w:lang w:eastAsia="pl-PL"/>
        </w:rPr>
        <w:t>Juckiewicz</w:t>
      </w:r>
      <w:proofErr w:type="spellEnd"/>
      <w:r w:rsidRPr="00CF1828">
        <w:rPr>
          <w:rFonts w:ascii="Times New Roman" w:hAnsi="Times New Roman" w:cs="Times New Roman"/>
          <w:lang w:eastAsia="pl-PL"/>
        </w:rPr>
        <w:t xml:space="preserve">, Monika </w:t>
      </w:r>
      <w:proofErr w:type="spellStart"/>
      <w:r w:rsidRPr="00CF1828">
        <w:rPr>
          <w:rFonts w:ascii="Times New Roman" w:hAnsi="Times New Roman" w:cs="Times New Roman"/>
          <w:lang w:eastAsia="pl-PL"/>
        </w:rPr>
        <w:t>Wałachowska</w:t>
      </w:r>
      <w:proofErr w:type="spellEnd"/>
      <w:r w:rsidRPr="00CF1828">
        <w:rPr>
          <w:rFonts w:ascii="Times New Roman" w:hAnsi="Times New Roman" w:cs="Times New Roman"/>
          <w:lang w:eastAsia="pl-PL"/>
        </w:rPr>
        <w:t xml:space="preserve">, Jacek </w:t>
      </w:r>
      <w:proofErr w:type="spellStart"/>
      <w:r w:rsidRPr="00CF1828">
        <w:rPr>
          <w:rFonts w:ascii="Times New Roman" w:hAnsi="Times New Roman" w:cs="Times New Roman"/>
          <w:lang w:eastAsia="pl-PL"/>
        </w:rPr>
        <w:t>Wantoch</w:t>
      </w:r>
      <w:proofErr w:type="spellEnd"/>
      <w:r w:rsidRPr="00CF1828">
        <w:rPr>
          <w:rFonts w:ascii="Times New Roman" w:hAnsi="Times New Roman" w:cs="Times New Roman"/>
          <w:lang w:eastAsia="pl-PL"/>
        </w:rPr>
        <w:t xml:space="preserve"> – Rekowski, </w:t>
      </w:r>
      <w:r w:rsidRPr="00CF1828">
        <w:rPr>
          <w:rFonts w:ascii="Times New Roman" w:hAnsi="Times New Roman" w:cs="Times New Roman"/>
          <w:i/>
          <w:iCs/>
          <w:lang w:eastAsia="pl-PL"/>
        </w:rPr>
        <w:t>Umowy cywilnoprawne w ubezpieczeniach społecznych</w:t>
      </w:r>
      <w:r w:rsidRPr="00CF1828">
        <w:rPr>
          <w:rFonts w:ascii="Times New Roman" w:hAnsi="Times New Roman" w:cs="Times New Roman"/>
          <w:lang w:eastAsia="pl-PL"/>
        </w:rPr>
        <w:t>, Wolters Kluwer, Warszawa 2015). Wymienione parametry nabierają znaczenia w ocenie prawa publicznego, skoro coraz częściej świadczą pracę osoby znajdujące się poza system ubezpieczenia społecznego. W ten sposób dochodzi do naruszenia konstytucyjnego prawa do zabezpieczenia społecznego (art. 67 Konstytucji RP). Sam status emeryta (rencisty) nie niweluje tej powinności.</w:t>
      </w:r>
    </w:p>
    <w:p w14:paraId="014D2601" w14:textId="77777777" w:rsidR="00C56462" w:rsidRPr="00CF1828" w:rsidRDefault="00C56462" w:rsidP="00CF1828">
      <w:pPr>
        <w:jc w:val="both"/>
        <w:rPr>
          <w:rFonts w:ascii="Times New Roman" w:hAnsi="Times New Roman" w:cs="Times New Roman"/>
          <w:lang w:eastAsia="pl-PL"/>
        </w:rPr>
      </w:pPr>
    </w:p>
    <w:p w14:paraId="07B7A884"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Sposób ukształtowania zobowiązania wyklucza akceptację zarzutu naruszenia art. 734 § 1 KC w związku z art. 750 KC przez ich zastosowanie w sprawie, a pominięcie treści art. 627 KC. Warto przypomnieć, że przez umowę o dzieło przyjmujący zamówienie zobowiązuje się do wykonania oznaczonego dzieła, a zamawiający do zapłaty wynagrodzenia. W judykaturze zgodnie uznaje się, iż tego rodzaju umowa jest konsensualna, wzajemna, w której przyjmujący zamówienie zobowiązuje się do osiągnięcia w przyszłości indywidualnie oznaczonego, samoistnego, obiektywnie możliwego a subiektywnie pewnego rezultatu pracy ludzkiej o charakterze materialnym lub niematerialnym. Dzieło musi bowiem istnieć w postaci postrzegalnej, pozwalającej nie tylko odróżnić je od innych przedmiotów, ale i uchwycić istotę osiągniętego rezultatu.</w:t>
      </w:r>
    </w:p>
    <w:p w14:paraId="2BC8939E" w14:textId="77777777" w:rsidR="00C56462" w:rsidRPr="00CF1828" w:rsidRDefault="00C56462" w:rsidP="00CF1828">
      <w:pPr>
        <w:jc w:val="both"/>
        <w:rPr>
          <w:rFonts w:ascii="Times New Roman" w:hAnsi="Times New Roman" w:cs="Times New Roman"/>
          <w:lang w:eastAsia="pl-PL"/>
        </w:rPr>
      </w:pPr>
    </w:p>
    <w:p w14:paraId="48D3D433"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 xml:space="preserve">Zdaniem SN, </w:t>
      </w:r>
      <w:r w:rsidRPr="00CF1828">
        <w:rPr>
          <w:rFonts w:ascii="Times New Roman" w:hAnsi="Times New Roman" w:cs="Times New Roman"/>
          <w:i/>
          <w:iCs/>
          <w:lang w:eastAsia="pl-PL"/>
        </w:rPr>
        <w:t>ad casum</w:t>
      </w:r>
      <w:r w:rsidRPr="00CF1828">
        <w:rPr>
          <w:rFonts w:ascii="Times New Roman" w:hAnsi="Times New Roman" w:cs="Times New Roman"/>
          <w:lang w:eastAsia="pl-PL"/>
        </w:rPr>
        <w:t xml:space="preserve">, dowolnie wybrane kryterium odróżniające, jak też wszystkie łącznie stosowane, nie prowadzą do akceptacji naruszenia przez Sąd Apelacyjny art. 734 § 1 KC. W okolicznościach faktycznych sprawy prace polegające na powtarzalnych usługach z zakresu księgowości sprzeciwiają się możliwości uznania ich za wykonanie dzieła, bowiem nie prowadzą do powstania obiektywnie istniejącego dzieła, a są nastawione na staranne wykonywanie czynności, a nie uzyskanie określonego rezultatu. Nie mamy do czynienia z właściwościami podmiotowymi, które z uwagi na posiadane przymioty mogą prowadzić do uzyskania indywidualnego rezultatu. Czynności były powtarzalne, a do tego cechowała je pewna ciągłość i systematyczność. Nie chodzi tu o sam czas trwania umów, lecz o zespół czynności tożsamych, jakie w ciągu dnia pracy wykonywała B. N. Nie chodzi tu tylko o kryterium ilościowe, lecz przede wszystkim jakościowe. Zasada swobody umów jawi się jako narzędzie pozwalające na szeroką autonomię woli stron (por. T. Wiśniewski w: </w:t>
      </w:r>
      <w:r w:rsidRPr="00CF1828">
        <w:rPr>
          <w:rFonts w:ascii="Times New Roman" w:hAnsi="Times New Roman" w:cs="Times New Roman"/>
          <w:i/>
          <w:iCs/>
          <w:lang w:eastAsia="pl-PL"/>
        </w:rPr>
        <w:t>Kodeks cywilny. Komentarz do art. 353</w:t>
      </w:r>
      <w:r w:rsidRPr="00CF1828">
        <w:rPr>
          <w:rFonts w:ascii="Times New Roman" w:hAnsi="Times New Roman" w:cs="Times New Roman"/>
          <w:i/>
          <w:iCs/>
          <w:vertAlign w:val="superscript"/>
          <w:lang w:eastAsia="pl-PL"/>
        </w:rPr>
        <w:t>1</w:t>
      </w:r>
      <w:r w:rsidRPr="00CF1828">
        <w:rPr>
          <w:rFonts w:ascii="Times New Roman" w:hAnsi="Times New Roman" w:cs="Times New Roman"/>
          <w:i/>
          <w:iCs/>
          <w:lang w:eastAsia="pl-PL"/>
        </w:rPr>
        <w:t>. Księga trzecia. Zobowiązania</w:t>
      </w:r>
      <w:r w:rsidRPr="00CF1828">
        <w:rPr>
          <w:rFonts w:ascii="Times New Roman" w:hAnsi="Times New Roman" w:cs="Times New Roman"/>
          <w:lang w:eastAsia="pl-PL"/>
        </w:rPr>
        <w:t xml:space="preserve">, Wydawnictwo Prawnicze </w:t>
      </w:r>
      <w:proofErr w:type="spellStart"/>
      <w:r w:rsidRPr="00CF1828">
        <w:rPr>
          <w:rFonts w:ascii="Times New Roman" w:hAnsi="Times New Roman" w:cs="Times New Roman"/>
          <w:lang w:eastAsia="pl-PL"/>
        </w:rPr>
        <w:t>LexisNexis</w:t>
      </w:r>
      <w:proofErr w:type="spellEnd"/>
      <w:r w:rsidRPr="00CF1828">
        <w:rPr>
          <w:rFonts w:ascii="Times New Roman" w:hAnsi="Times New Roman" w:cs="Times New Roman"/>
          <w:lang w:eastAsia="pl-PL"/>
        </w:rPr>
        <w:t xml:space="preserve">, </w:t>
      </w:r>
      <w:r w:rsidRPr="00CF1828">
        <w:rPr>
          <w:rFonts w:ascii="Times New Roman" w:hAnsi="Times New Roman" w:cs="Times New Roman"/>
          <w:lang w:eastAsia="pl-PL"/>
        </w:rPr>
        <w:lastRenderedPageBreak/>
        <w:t>2013). Przedmiotowa reguła ma także zastosowanie w sprawach z zakresu ubezpieczeń społecznych, przy czym nie jest ona absolutna. Sprawy z zakresu ubezpieczeń społecznych są sprawami cywilnymi w ujęciu formalnym (art. 1 KPC). Natomiast przepisy prawa ubezpieczeń mają moc przepisów powszechnie obowiązujących, które nie mogą być wolą stron zmieniane i modyfikowane. Skoro obowiązek ubezpieczenia powstaje z mocy prawa, to przez czynności faktyczne stron nie można go uniknąć. Dążenie do takiego celu pozostaje w opozycji do art. 353</w:t>
      </w:r>
      <w:r w:rsidRPr="00CF1828">
        <w:rPr>
          <w:rFonts w:ascii="Times New Roman" w:hAnsi="Times New Roman" w:cs="Times New Roman"/>
          <w:vertAlign w:val="superscript"/>
          <w:lang w:eastAsia="pl-PL"/>
        </w:rPr>
        <w:t>1</w:t>
      </w:r>
      <w:r w:rsidRPr="00CF1828">
        <w:rPr>
          <w:rFonts w:ascii="Times New Roman" w:hAnsi="Times New Roman" w:cs="Times New Roman"/>
          <w:lang w:eastAsia="pl-PL"/>
        </w:rPr>
        <w:t xml:space="preserve"> KC, albowiem kształtuje umowę w sposób sprzeczny z ustawą systemową.</w:t>
      </w:r>
    </w:p>
    <w:p w14:paraId="018088C7" w14:textId="77777777" w:rsidR="00C56462" w:rsidRPr="00CF1828" w:rsidRDefault="00C56462" w:rsidP="00CF1828">
      <w:pPr>
        <w:jc w:val="both"/>
        <w:rPr>
          <w:rFonts w:ascii="Times New Roman" w:hAnsi="Times New Roman" w:cs="Times New Roman"/>
          <w:lang w:eastAsia="pl-PL"/>
        </w:rPr>
      </w:pPr>
    </w:p>
    <w:p w14:paraId="3B0BE6CD" w14:textId="77777777" w:rsidR="00C56462" w:rsidRPr="00CF1828" w:rsidRDefault="00C56462" w:rsidP="00CF1828">
      <w:pPr>
        <w:ind w:firstLine="708"/>
        <w:jc w:val="both"/>
        <w:rPr>
          <w:rFonts w:ascii="Times New Roman" w:hAnsi="Times New Roman" w:cs="Times New Roman"/>
          <w:lang w:eastAsia="pl-PL"/>
        </w:rPr>
      </w:pPr>
      <w:r w:rsidRPr="00CF1828">
        <w:rPr>
          <w:rFonts w:ascii="Times New Roman" w:hAnsi="Times New Roman" w:cs="Times New Roman"/>
          <w:lang w:eastAsia="pl-PL"/>
        </w:rPr>
        <w:t>Sąd Najwyższy wielokrotnie wyjaśniał, że umowa o dzieło i umowa zlecenia należą do umów o świadczenie usług, aczkolwiek ich zakresy nie są tożsame. Niewątpliwie każda umowa o dzieło należy do kategorii umów rezultatu, jednak nie każda umowa rezultatu może być podporządkowana przepisom umowy o dzieło. Ponadto wola stron wyrażona w umowie nie może być sprzeczna z ustawą (art. 58 § 1 KC), przeto swoboda stron przy zawieraniu umowy nie jest nieograniczona (art. 353</w:t>
      </w:r>
      <w:r w:rsidRPr="00CF1828">
        <w:rPr>
          <w:rFonts w:ascii="Times New Roman" w:hAnsi="Times New Roman" w:cs="Times New Roman"/>
          <w:vertAlign w:val="superscript"/>
          <w:lang w:eastAsia="pl-PL"/>
        </w:rPr>
        <w:t>1</w:t>
      </w:r>
      <w:r w:rsidRPr="00CF1828">
        <w:rPr>
          <w:rFonts w:ascii="Times New Roman" w:hAnsi="Times New Roman" w:cs="Times New Roman"/>
          <w:lang w:eastAsia="pl-PL"/>
        </w:rPr>
        <w:t xml:space="preserve"> KC). Inaczej rzecz ujmując, skoro wola stron nie może zmieniać ustawy, to strony nie mogą nazwać umową o dzieło zobowiązania, którego przedmiotem nie jest dzieło w rozumieniu art. 627 KC (por. wyrok Sądu Najwyższego z dnia 26 marca 2013 r., II UK 201/12, </w:t>
      </w:r>
      <w:proofErr w:type="spellStart"/>
      <w:r w:rsidRPr="00CF1828">
        <w:rPr>
          <w:rFonts w:ascii="Times New Roman" w:hAnsi="Times New Roman" w:cs="Times New Roman"/>
          <w:lang w:eastAsia="pl-PL"/>
        </w:rPr>
        <w:t>Legalis</w:t>
      </w:r>
      <w:proofErr w:type="spellEnd"/>
      <w:r w:rsidRPr="00CF1828">
        <w:rPr>
          <w:rFonts w:ascii="Times New Roman" w:hAnsi="Times New Roman" w:cs="Times New Roman"/>
          <w:lang w:eastAsia="pl-PL"/>
        </w:rPr>
        <w:t xml:space="preserve"> nr 734548).</w:t>
      </w:r>
    </w:p>
    <w:p w14:paraId="52A21C44" w14:textId="77777777" w:rsidR="00C56462" w:rsidRPr="00CF1828" w:rsidRDefault="00C56462" w:rsidP="00CF1828">
      <w:pPr>
        <w:jc w:val="both"/>
        <w:rPr>
          <w:rFonts w:ascii="Times New Roman" w:hAnsi="Times New Roman" w:cs="Times New Roman"/>
          <w:lang w:eastAsia="pl-PL"/>
        </w:rPr>
      </w:pPr>
    </w:p>
    <w:p w14:paraId="3023412F" w14:textId="77777777" w:rsidR="00C56462" w:rsidRPr="00CF1828" w:rsidRDefault="00C56462" w:rsidP="00CF1828">
      <w:pPr>
        <w:jc w:val="both"/>
        <w:rPr>
          <w:rFonts w:ascii="Times New Roman" w:hAnsi="Times New Roman" w:cs="Times New Roman"/>
          <w:color w:val="FF2600"/>
          <w:lang w:eastAsia="pl-PL"/>
        </w:rPr>
      </w:pPr>
      <w:r w:rsidRPr="00CF1828">
        <w:rPr>
          <w:rFonts w:ascii="Times New Roman" w:hAnsi="Times New Roman" w:cs="Times New Roman"/>
          <w:b/>
          <w:bCs/>
          <w:color w:val="FF2600"/>
          <w:lang w:eastAsia="pl-PL"/>
        </w:rPr>
        <w:t>Kluczowe przepisy</w:t>
      </w:r>
    </w:p>
    <w:p w14:paraId="4DF95315" w14:textId="77777777" w:rsidR="00F2086A" w:rsidRDefault="00F2086A" w:rsidP="00F2086A">
      <w:pPr>
        <w:jc w:val="both"/>
        <w:rPr>
          <w:rFonts w:ascii="Times New Roman" w:hAnsi="Times New Roman"/>
          <w:b/>
          <w:color w:val="000000"/>
        </w:rPr>
      </w:pPr>
    </w:p>
    <w:p w14:paraId="0DBAB10D" w14:textId="49BF6102" w:rsidR="00F2086A" w:rsidRPr="00F2086A" w:rsidRDefault="00F2086A" w:rsidP="00F2086A">
      <w:pPr>
        <w:jc w:val="both"/>
        <w:rPr>
          <w:rFonts w:ascii="Times New Roman" w:hAnsi="Times New Roman"/>
          <w:b/>
          <w:color w:val="000000"/>
        </w:rPr>
      </w:pPr>
      <w:r>
        <w:rPr>
          <w:rFonts w:ascii="Times New Roman" w:hAnsi="Times New Roman"/>
          <w:b/>
          <w:color w:val="000000"/>
        </w:rPr>
        <w:t xml:space="preserve">Ustawa z dnia 23 kwietnia 1964 r. Kodeks </w:t>
      </w:r>
      <w:r w:rsidRPr="00F2086A">
        <w:rPr>
          <w:rFonts w:ascii="Times New Roman" w:hAnsi="Times New Roman"/>
          <w:b/>
          <w:color w:val="000000"/>
        </w:rPr>
        <w:t xml:space="preserve">cywilny </w:t>
      </w:r>
      <w:hyperlink r:id="rId6" w:history="1">
        <w:r w:rsidRPr="00F2086A">
          <w:rPr>
            <w:rStyle w:val="Hipercze"/>
            <w:rFonts w:ascii="Times New Roman" w:hAnsi="Times New Roman"/>
            <w:b/>
            <w:color w:val="000000"/>
            <w:u w:val="none"/>
          </w:rPr>
          <w:t>(tj. Dz.U. z 2018 r. poz. 1025)</w:t>
        </w:r>
      </w:hyperlink>
    </w:p>
    <w:p w14:paraId="4E270388" w14:textId="77777777" w:rsidR="00F2086A" w:rsidRDefault="00F2086A" w:rsidP="00F2086A">
      <w:pPr>
        <w:jc w:val="both"/>
        <w:rPr>
          <w:rFonts w:ascii="Times New Roman" w:hAnsi="Times New Roman"/>
          <w:color w:val="000000"/>
        </w:rPr>
      </w:pPr>
    </w:p>
    <w:p w14:paraId="165F611C" w14:textId="2B083DC9"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
          <w:bCs/>
          <w:lang w:eastAsia="pl-PL"/>
        </w:rPr>
        <w:t>Art. 627.</w:t>
      </w:r>
      <w:r w:rsidRPr="00CF1828">
        <w:rPr>
          <w:rFonts w:ascii="Times New Roman" w:hAnsi="Times New Roman" w:cs="Times New Roman"/>
          <w:lang w:eastAsia="pl-PL"/>
        </w:rPr>
        <w:t> </w:t>
      </w:r>
    </w:p>
    <w:p w14:paraId="641D3993"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Przez umowę o dzieło przyjmujący zamówienie zobowiązuje się do wykonania oznaczonego dzieła, a zamawiający do zapłaty wynagrodzenia.</w:t>
      </w:r>
    </w:p>
    <w:p w14:paraId="5036A467" w14:textId="77777777" w:rsidR="00C56462" w:rsidRPr="00CF1828" w:rsidRDefault="00C56462" w:rsidP="00CF1828">
      <w:pPr>
        <w:jc w:val="both"/>
        <w:rPr>
          <w:rFonts w:ascii="Times New Roman" w:hAnsi="Times New Roman" w:cs="Times New Roman"/>
          <w:lang w:eastAsia="pl-PL"/>
        </w:rPr>
      </w:pPr>
    </w:p>
    <w:p w14:paraId="5B4DE1C0"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
          <w:bCs/>
          <w:lang w:eastAsia="pl-PL"/>
        </w:rPr>
        <w:t>Art. 734 </w:t>
      </w:r>
    </w:p>
    <w:p w14:paraId="55DA76E3"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 1. Przez umowę zlecenia przyjmujący zlecenie zobowiązuje się do dokonania określonej czynności prawnej dla dającego zlecenie.</w:t>
      </w:r>
    </w:p>
    <w:p w14:paraId="390FD122"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 2. W braku odmiennej umowy zlec</w:t>
      </w:r>
      <w:bookmarkStart w:id="0" w:name="_GoBack"/>
      <w:bookmarkEnd w:id="0"/>
      <w:r w:rsidRPr="00CF1828">
        <w:rPr>
          <w:rFonts w:ascii="Times New Roman" w:hAnsi="Times New Roman" w:cs="Times New Roman"/>
          <w:lang w:eastAsia="pl-PL"/>
        </w:rPr>
        <w:t>enie obejmuje umocowanie do wykonania czynności w imieniu dającego zlecenie. Przepis ten nie uchybia przepisom o formie pełnomocnictwa.</w:t>
      </w:r>
    </w:p>
    <w:p w14:paraId="2ED6EA0E" w14:textId="77777777" w:rsidR="00C56462" w:rsidRPr="00CF1828" w:rsidRDefault="00C56462" w:rsidP="00CF1828">
      <w:pPr>
        <w:jc w:val="both"/>
        <w:rPr>
          <w:rFonts w:ascii="Times New Roman" w:hAnsi="Times New Roman" w:cs="Times New Roman"/>
          <w:lang w:eastAsia="pl-PL"/>
        </w:rPr>
      </w:pPr>
    </w:p>
    <w:p w14:paraId="05DDF9B9"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
          <w:bCs/>
          <w:lang w:eastAsia="pl-PL"/>
        </w:rPr>
        <w:t>Art. 750</w:t>
      </w:r>
      <w:r w:rsidRPr="00CF1828">
        <w:rPr>
          <w:rFonts w:ascii="Times New Roman" w:hAnsi="Times New Roman" w:cs="Times New Roman"/>
          <w:lang w:eastAsia="pl-PL"/>
        </w:rPr>
        <w:t> </w:t>
      </w:r>
    </w:p>
    <w:p w14:paraId="2FC1F17E"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Do umów o świadczenie usług, które nie są uregulowane innymi przepisami, stosuje się odpowiednio przepisy o zleceniu.</w:t>
      </w:r>
    </w:p>
    <w:p w14:paraId="3E5A4CF5" w14:textId="77777777" w:rsidR="00C56462" w:rsidRPr="00CF1828" w:rsidRDefault="00C56462" w:rsidP="00CF1828">
      <w:pPr>
        <w:jc w:val="both"/>
        <w:rPr>
          <w:rFonts w:ascii="Times New Roman" w:hAnsi="Times New Roman" w:cs="Times New Roman"/>
          <w:lang w:eastAsia="pl-PL"/>
        </w:rPr>
      </w:pPr>
    </w:p>
    <w:p w14:paraId="199A87A4" w14:textId="77777777" w:rsidR="00CF1828" w:rsidRDefault="00CF1828" w:rsidP="00CF1828">
      <w:pPr>
        <w:jc w:val="both"/>
        <w:rPr>
          <w:rFonts w:ascii="Times New Roman" w:hAnsi="Times New Roman" w:cs="Times New Roman"/>
          <w:b/>
          <w:bCs/>
          <w:lang w:eastAsia="pl-PL"/>
        </w:rPr>
      </w:pPr>
    </w:p>
    <w:p w14:paraId="29473935" w14:textId="3B968C8B"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
          <w:bCs/>
          <w:lang w:eastAsia="pl-PL"/>
        </w:rPr>
        <w:t>Ustawa z 13 października 1998 r. o systemie ubezpieczeń społecznych (Dz.U. z 2019 r. poz. 300)</w:t>
      </w:r>
    </w:p>
    <w:p w14:paraId="2C6A76CE" w14:textId="77777777" w:rsidR="00C56462" w:rsidRPr="00CF1828" w:rsidRDefault="00C56462" w:rsidP="00CF1828">
      <w:pPr>
        <w:jc w:val="both"/>
        <w:rPr>
          <w:rFonts w:ascii="Times New Roman" w:hAnsi="Times New Roman" w:cs="Times New Roman"/>
          <w:lang w:eastAsia="pl-PL"/>
        </w:rPr>
      </w:pPr>
    </w:p>
    <w:p w14:paraId="0B5C7A6E"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b/>
          <w:bCs/>
          <w:lang w:eastAsia="pl-PL"/>
        </w:rPr>
        <w:t>Art. 6 ust. 1 pkt 4) oraz art. 6 ust. 4</w:t>
      </w:r>
    </w:p>
    <w:p w14:paraId="75D18D46"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Obowiązkowo ubezpieczeniom emerytalnemu i rentowym podlegają, z zastrzeżeniem art. 8 i 9, osoby fizyczne, które na obszarze Rzeczypospolitej Polskiej są: osobami wykonującymi pracę na podstawie umowy agencyjnej lub umowy zlecenia albo innej umowy o świadczenie usług, do której zgodnie z Kodeksem cywilnym stosuje się przepisy dotyczące zlecenia, zwanymi dalej „zleceniobiorcami”, oraz osobami z nimi współpracującymi, z zastrzeżeniem ust. 4 </w:t>
      </w:r>
    </w:p>
    <w:p w14:paraId="0325A2EE" w14:textId="77777777" w:rsidR="00C56462" w:rsidRPr="00CF1828" w:rsidRDefault="00C56462" w:rsidP="00CF1828">
      <w:pPr>
        <w:jc w:val="both"/>
        <w:rPr>
          <w:rFonts w:ascii="Times New Roman" w:hAnsi="Times New Roman" w:cs="Times New Roman"/>
          <w:lang w:eastAsia="pl-PL"/>
        </w:rPr>
      </w:pPr>
    </w:p>
    <w:p w14:paraId="55E83889" w14:textId="77777777" w:rsidR="00C56462" w:rsidRPr="00CF1828" w:rsidRDefault="00C56462" w:rsidP="00CF1828">
      <w:pPr>
        <w:jc w:val="both"/>
        <w:rPr>
          <w:rFonts w:ascii="Times New Roman" w:hAnsi="Times New Roman" w:cs="Times New Roman"/>
          <w:lang w:eastAsia="pl-PL"/>
        </w:rPr>
      </w:pPr>
      <w:r w:rsidRPr="00CF1828">
        <w:rPr>
          <w:rFonts w:ascii="Times New Roman" w:hAnsi="Times New Roman" w:cs="Times New Roman"/>
          <w:lang w:eastAsia="pl-PL"/>
        </w:rPr>
        <w:t>Osoby określone w ust. 1 pkt 4 nie podlegają obowiązkowo ubezpieczeniom emerytalnemu i rentowym, jeżeli są uczniami szkół ponadpodstawowych lub studentami, do ukończenia 26 lat.</w:t>
      </w:r>
    </w:p>
    <w:p w14:paraId="48CDC2D4" w14:textId="77777777" w:rsidR="00C56462" w:rsidRPr="00CF1828" w:rsidRDefault="00C56462" w:rsidP="00CF1828">
      <w:pPr>
        <w:jc w:val="both"/>
        <w:rPr>
          <w:rFonts w:ascii="Times New Roman" w:hAnsi="Times New Roman" w:cs="Times New Roman"/>
          <w:lang w:eastAsia="pl-PL"/>
        </w:rPr>
      </w:pPr>
    </w:p>
    <w:p w14:paraId="18B80E71" w14:textId="77777777" w:rsidR="00C56462" w:rsidRPr="00CF1828" w:rsidRDefault="00C56462" w:rsidP="00CF1828">
      <w:pPr>
        <w:spacing w:after="90"/>
        <w:jc w:val="both"/>
        <w:rPr>
          <w:rFonts w:ascii="Times New Roman" w:hAnsi="Times New Roman" w:cs="Times New Roman"/>
          <w:color w:val="FF2600"/>
          <w:lang w:eastAsia="pl-PL"/>
        </w:rPr>
      </w:pPr>
      <w:r w:rsidRPr="00CF1828">
        <w:rPr>
          <w:rFonts w:ascii="Times New Roman" w:hAnsi="Times New Roman" w:cs="Times New Roman"/>
          <w:b/>
          <w:bCs/>
          <w:color w:val="FF2600"/>
          <w:lang w:eastAsia="pl-PL"/>
        </w:rPr>
        <w:t>Podstawowe problemy:</w:t>
      </w:r>
    </w:p>
    <w:p w14:paraId="680ECD34" w14:textId="282D25E5" w:rsidR="00C56462" w:rsidRPr="00CF1828" w:rsidRDefault="00C56462" w:rsidP="00CF1828">
      <w:pPr>
        <w:pStyle w:val="Akapitzlist"/>
        <w:numPr>
          <w:ilvl w:val="0"/>
          <w:numId w:val="2"/>
        </w:numPr>
        <w:spacing w:after="90"/>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Czy czynności powtarzalne mogą być dziełem w rozumieniu art. 627 KC?</w:t>
      </w:r>
    </w:p>
    <w:p w14:paraId="1AE34106" w14:textId="083E2FB4" w:rsidR="00C56462" w:rsidRPr="00CF1828" w:rsidRDefault="00C56462" w:rsidP="00CF1828">
      <w:pPr>
        <w:numPr>
          <w:ilvl w:val="0"/>
          <w:numId w:val="2"/>
        </w:numPr>
        <w:spacing w:after="90"/>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Jak bardzo „zindywidualizowane” musi być dzieło?</w:t>
      </w:r>
    </w:p>
    <w:p w14:paraId="1B4243B2" w14:textId="4B7223B0" w:rsidR="00C56462" w:rsidRPr="00CF1828" w:rsidRDefault="00C56462" w:rsidP="00CF1828">
      <w:pPr>
        <w:numPr>
          <w:ilvl w:val="0"/>
          <w:numId w:val="2"/>
        </w:numPr>
        <w:spacing w:after="90"/>
        <w:jc w:val="both"/>
        <w:rPr>
          <w:rFonts w:ascii="Times New Roman" w:eastAsia="Times New Roman" w:hAnsi="Times New Roman" w:cs="Times New Roman"/>
          <w:lang w:eastAsia="pl-PL"/>
        </w:rPr>
      </w:pPr>
      <w:r w:rsidRPr="00CF1828">
        <w:rPr>
          <w:rFonts w:ascii="Times New Roman" w:eastAsia="Times New Roman" w:hAnsi="Times New Roman" w:cs="Times New Roman"/>
          <w:lang w:eastAsia="pl-PL"/>
        </w:rPr>
        <w:t>Kwestia kryteriów ilościowych oraz jakościowych</w:t>
      </w:r>
      <w:r w:rsidR="00147CFD">
        <w:rPr>
          <w:rFonts w:ascii="Times New Roman" w:eastAsia="Times New Roman" w:hAnsi="Times New Roman" w:cs="Times New Roman"/>
          <w:lang w:eastAsia="pl-PL"/>
        </w:rPr>
        <w:t>.</w:t>
      </w:r>
    </w:p>
    <w:p w14:paraId="582BC633" w14:textId="77777777" w:rsidR="0030732E" w:rsidRPr="00CF1828" w:rsidRDefault="0030732E" w:rsidP="00CF1828">
      <w:pPr>
        <w:rPr>
          <w:rFonts w:ascii="Times New Roman" w:hAnsi="Times New Roman" w:cs="Times New Roman"/>
        </w:rPr>
      </w:pPr>
    </w:p>
    <w:sectPr w:rsidR="0030732E" w:rsidRPr="00CF1828" w:rsidSect="00E73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iragino Sans">
    <w:altName w:val="MS Gothic"/>
    <w:charset w:val="80"/>
    <w:family w:val="auto"/>
    <w:pitch w:val="variable"/>
    <w:sig w:usb0="00000000" w:usb1="7AC7FFFF" w:usb2="00000012" w:usb3="00000000" w:csb0="0002000D"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1BD7"/>
    <w:multiLevelType w:val="multilevel"/>
    <w:tmpl w:val="2FA08E9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9F78E7"/>
    <w:multiLevelType w:val="multilevel"/>
    <w:tmpl w:val="CE24E2DE"/>
    <w:lvl w:ilvl="0">
      <w:start w:val="1"/>
      <w:numFmt w:val="decimal"/>
      <w:lvlText w:val="%1."/>
      <w:lvlJc w:val="left"/>
      <w:pPr>
        <w:tabs>
          <w:tab w:val="num" w:pos="720"/>
        </w:tabs>
        <w:ind w:left="720" w:hanging="360"/>
      </w:pPr>
      <w:rPr>
        <w:rFonts w:ascii="Times New Roman" w:eastAsia="Hiragino Sans"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62"/>
    <w:rsid w:val="00147CFD"/>
    <w:rsid w:val="00214FB4"/>
    <w:rsid w:val="0030732E"/>
    <w:rsid w:val="00C56462"/>
    <w:rsid w:val="00CF1828"/>
    <w:rsid w:val="00E73BB8"/>
    <w:rsid w:val="00EF3811"/>
    <w:rsid w:val="00F208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2C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C56462"/>
    <w:pPr>
      <w:jc w:val="both"/>
    </w:pPr>
    <w:rPr>
      <w:rFonts w:ascii="Times New Roman" w:hAnsi="Times New Roman" w:cs="Times New Roman"/>
      <w:color w:val="5488CF"/>
      <w:sz w:val="18"/>
      <w:szCs w:val="18"/>
      <w:lang w:eastAsia="pl-PL"/>
    </w:rPr>
  </w:style>
  <w:style w:type="paragraph" w:customStyle="1" w:styleId="p2">
    <w:name w:val="p2"/>
    <w:basedOn w:val="Normalny"/>
    <w:rsid w:val="00C56462"/>
    <w:pPr>
      <w:jc w:val="both"/>
    </w:pPr>
    <w:rPr>
      <w:rFonts w:ascii="Times New Roman" w:hAnsi="Times New Roman" w:cs="Times New Roman"/>
      <w:sz w:val="18"/>
      <w:szCs w:val="18"/>
      <w:lang w:eastAsia="pl-PL"/>
    </w:rPr>
  </w:style>
  <w:style w:type="paragraph" w:customStyle="1" w:styleId="p3">
    <w:name w:val="p3"/>
    <w:basedOn w:val="Normalny"/>
    <w:rsid w:val="00C56462"/>
    <w:pPr>
      <w:jc w:val="both"/>
    </w:pPr>
    <w:rPr>
      <w:rFonts w:ascii="Times New Roman" w:hAnsi="Times New Roman" w:cs="Times New Roman"/>
      <w:color w:val="FF2600"/>
      <w:sz w:val="18"/>
      <w:szCs w:val="18"/>
      <w:lang w:eastAsia="pl-PL"/>
    </w:rPr>
  </w:style>
  <w:style w:type="paragraph" w:customStyle="1" w:styleId="p4">
    <w:name w:val="p4"/>
    <w:basedOn w:val="Normalny"/>
    <w:rsid w:val="00C56462"/>
    <w:pPr>
      <w:jc w:val="both"/>
    </w:pPr>
    <w:rPr>
      <w:rFonts w:ascii="Times New Roman" w:hAnsi="Times New Roman" w:cs="Times New Roman"/>
      <w:sz w:val="18"/>
      <w:szCs w:val="18"/>
      <w:lang w:eastAsia="pl-PL"/>
    </w:rPr>
  </w:style>
  <w:style w:type="paragraph" w:customStyle="1" w:styleId="p5">
    <w:name w:val="p5"/>
    <w:basedOn w:val="Normalny"/>
    <w:rsid w:val="00C56462"/>
    <w:pPr>
      <w:spacing w:before="75"/>
      <w:jc w:val="both"/>
    </w:pPr>
    <w:rPr>
      <w:rFonts w:ascii="Times New Roman" w:hAnsi="Times New Roman" w:cs="Times New Roman"/>
      <w:color w:val="FF2600"/>
      <w:sz w:val="18"/>
      <w:szCs w:val="18"/>
      <w:lang w:eastAsia="pl-PL"/>
    </w:rPr>
  </w:style>
  <w:style w:type="paragraph" w:customStyle="1" w:styleId="p6">
    <w:name w:val="p6"/>
    <w:basedOn w:val="Normalny"/>
    <w:rsid w:val="00C56462"/>
    <w:pPr>
      <w:spacing w:before="75"/>
      <w:jc w:val="both"/>
    </w:pPr>
    <w:rPr>
      <w:rFonts w:ascii="Times New Roman" w:hAnsi="Times New Roman" w:cs="Times New Roman"/>
      <w:color w:val="FF2600"/>
      <w:sz w:val="18"/>
      <w:szCs w:val="18"/>
      <w:lang w:eastAsia="pl-PL"/>
    </w:rPr>
  </w:style>
  <w:style w:type="paragraph" w:customStyle="1" w:styleId="p7">
    <w:name w:val="p7"/>
    <w:basedOn w:val="Normalny"/>
    <w:rsid w:val="00C56462"/>
    <w:pPr>
      <w:spacing w:after="90"/>
      <w:jc w:val="both"/>
    </w:pPr>
    <w:rPr>
      <w:rFonts w:ascii="Times New Roman" w:hAnsi="Times New Roman" w:cs="Times New Roman"/>
      <w:color w:val="FF2600"/>
      <w:sz w:val="18"/>
      <w:szCs w:val="18"/>
      <w:lang w:eastAsia="pl-PL"/>
    </w:rPr>
  </w:style>
  <w:style w:type="character" w:customStyle="1" w:styleId="s1">
    <w:name w:val="s1"/>
    <w:basedOn w:val="Domylnaczcionkaakapitu"/>
    <w:rsid w:val="00C56462"/>
    <w:rPr>
      <w:rFonts w:ascii="Hiragino Sans" w:eastAsia="Hiragino Sans" w:hAnsi="Hiragino Sans" w:hint="eastAsia"/>
      <w:sz w:val="18"/>
      <w:szCs w:val="18"/>
    </w:rPr>
  </w:style>
  <w:style w:type="character" w:customStyle="1" w:styleId="s3">
    <w:name w:val="s3"/>
    <w:basedOn w:val="Domylnaczcionkaakapitu"/>
    <w:rsid w:val="00C56462"/>
    <w:rPr>
      <w:rFonts w:ascii="Helvetica" w:hAnsi="Helvetica" w:hint="default"/>
      <w:sz w:val="14"/>
      <w:szCs w:val="14"/>
    </w:rPr>
  </w:style>
  <w:style w:type="character" w:customStyle="1" w:styleId="apple-tab-span">
    <w:name w:val="apple-tab-span"/>
    <w:basedOn w:val="Domylnaczcionkaakapitu"/>
    <w:rsid w:val="00C56462"/>
  </w:style>
  <w:style w:type="character" w:customStyle="1" w:styleId="apple-converted-space">
    <w:name w:val="apple-converted-space"/>
    <w:basedOn w:val="Domylnaczcionkaakapitu"/>
    <w:rsid w:val="00C56462"/>
  </w:style>
  <w:style w:type="paragraph" w:styleId="Akapitzlist">
    <w:name w:val="List Paragraph"/>
    <w:basedOn w:val="Normalny"/>
    <w:uiPriority w:val="34"/>
    <w:qFormat/>
    <w:rsid w:val="00CF1828"/>
    <w:pPr>
      <w:ind w:left="720"/>
      <w:contextualSpacing/>
    </w:pPr>
  </w:style>
  <w:style w:type="character" w:styleId="Hipercze">
    <w:name w:val="Hyperlink"/>
    <w:basedOn w:val="Domylnaczcionkaakapitu"/>
    <w:uiPriority w:val="99"/>
    <w:semiHidden/>
    <w:unhideWhenUsed/>
    <w:rsid w:val="00F208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3807">
      <w:bodyDiv w:val="1"/>
      <w:marLeft w:val="0"/>
      <w:marRight w:val="0"/>
      <w:marTop w:val="0"/>
      <w:marBottom w:val="0"/>
      <w:divBdr>
        <w:top w:val="none" w:sz="0" w:space="0" w:color="auto"/>
        <w:left w:val="none" w:sz="0" w:space="0" w:color="auto"/>
        <w:bottom w:val="none" w:sz="0" w:space="0" w:color="auto"/>
        <w:right w:val="none" w:sz="0" w:space="0" w:color="auto"/>
      </w:divBdr>
    </w:div>
    <w:div w:id="181163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1legalis-1pl-100bd6bx10476.han3.uci.umk.pl/document-view.seam?documentId=mfrxilrtg4ytemzwgu2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98E6C-3AB4-41FC-8EA1-B8C795B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2568</Words>
  <Characters>15409</Characters>
  <Application>Microsoft Office Word</Application>
  <DocSecurity>0</DocSecurity>
  <Lines>128</Lines>
  <Paragraphs>35</Paragraphs>
  <ScaleCrop>false</ScaleCrop>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Marek</cp:lastModifiedBy>
  <cp:revision>7</cp:revision>
  <dcterms:created xsi:type="dcterms:W3CDTF">2019-05-18T08:04:00Z</dcterms:created>
  <dcterms:modified xsi:type="dcterms:W3CDTF">2019-05-22T04:31:00Z</dcterms:modified>
</cp:coreProperties>
</file>