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90" w:rsidRDefault="00047B90" w:rsidP="004D0C7B">
      <w:pPr>
        <w:spacing w:after="0"/>
        <w:jc w:val="both"/>
        <w:rPr>
          <w:color w:val="2F5496" w:themeColor="accent5" w:themeShade="BF"/>
          <w:szCs w:val="24"/>
        </w:rPr>
      </w:pPr>
      <w:r w:rsidRPr="004D0C7B">
        <w:rPr>
          <w:b/>
          <w:color w:val="2F5496" w:themeColor="accent5" w:themeShade="BF"/>
          <w:szCs w:val="24"/>
        </w:rPr>
        <w:t>Raport lekarza z konferencji a umowa o dzieło</w:t>
      </w:r>
      <w:r w:rsidRPr="004D0C7B">
        <w:rPr>
          <w:color w:val="2F5496" w:themeColor="accent5" w:themeShade="BF"/>
          <w:szCs w:val="24"/>
        </w:rPr>
        <w:t xml:space="preserve"> - Anna Misiak</w:t>
      </w:r>
      <w:r w:rsidR="004D0C7B">
        <w:rPr>
          <w:color w:val="2F5496" w:themeColor="accent5" w:themeShade="BF"/>
          <w:szCs w:val="24"/>
        </w:rPr>
        <w:t xml:space="preserve">, </w:t>
      </w:r>
      <w:r w:rsidRPr="004D0C7B">
        <w:rPr>
          <w:color w:val="2F5496" w:themeColor="accent5" w:themeShade="BF"/>
          <w:szCs w:val="24"/>
        </w:rPr>
        <w:t>MDDP</w:t>
      </w:r>
    </w:p>
    <w:p w:rsidR="005851D3" w:rsidRPr="004D0C7B" w:rsidRDefault="005851D3" w:rsidP="004D0C7B">
      <w:pPr>
        <w:spacing w:after="0"/>
        <w:jc w:val="both"/>
        <w:rPr>
          <w:color w:val="2F5496" w:themeColor="accent5" w:themeShade="BF"/>
          <w:szCs w:val="24"/>
        </w:rPr>
      </w:pPr>
    </w:p>
    <w:p w:rsidR="00F24A9F" w:rsidRPr="00394756" w:rsidRDefault="00167E0D" w:rsidP="00AE063E">
      <w:pPr>
        <w:pStyle w:val="HeaderStyle"/>
        <w:spacing w:after="0" w:line="276" w:lineRule="auto"/>
        <w:jc w:val="both"/>
        <w:rPr>
          <w:color w:val="FF0000"/>
          <w:szCs w:val="24"/>
        </w:rPr>
      </w:pPr>
      <w:bookmarkStart w:id="0" w:name="_GoBack"/>
      <w:bookmarkEnd w:id="0"/>
      <w:r w:rsidRPr="00394756">
        <w:rPr>
          <w:color w:val="FF0000"/>
          <w:szCs w:val="24"/>
        </w:rPr>
        <w:t>W</w:t>
      </w:r>
      <w:r w:rsidR="005C277C" w:rsidRPr="00394756">
        <w:rPr>
          <w:color w:val="FF0000"/>
          <w:szCs w:val="24"/>
        </w:rPr>
        <w:t>yrok</w:t>
      </w:r>
      <w:r w:rsidRPr="00394756">
        <w:rPr>
          <w:color w:val="FF0000"/>
          <w:szCs w:val="24"/>
        </w:rPr>
        <w:t xml:space="preserve"> NSA </w:t>
      </w:r>
      <w:r w:rsidR="005C277C" w:rsidRPr="00394756">
        <w:rPr>
          <w:color w:val="FF0000"/>
          <w:szCs w:val="24"/>
        </w:rPr>
        <w:t>z dnia 11 stycznia 2019 r.</w:t>
      </w:r>
      <w:r w:rsidRPr="00394756">
        <w:rPr>
          <w:color w:val="FF0000"/>
          <w:szCs w:val="24"/>
        </w:rPr>
        <w:t xml:space="preserve">, </w:t>
      </w:r>
      <w:r w:rsidR="005C277C" w:rsidRPr="00394756">
        <w:rPr>
          <w:color w:val="FF0000"/>
          <w:szCs w:val="24"/>
        </w:rPr>
        <w:t>II GSK 4626/16</w:t>
      </w:r>
    </w:p>
    <w:p w:rsidR="00DB2161" w:rsidRDefault="00DB2161" w:rsidP="004D0C7B">
      <w:pPr>
        <w:spacing w:before="25" w:after="0"/>
        <w:jc w:val="both"/>
        <w:rPr>
          <w:b/>
          <w:szCs w:val="24"/>
        </w:rPr>
      </w:pPr>
    </w:p>
    <w:p w:rsidR="00093EFC" w:rsidRPr="00DB2161" w:rsidRDefault="00093EFC" w:rsidP="004D0C7B">
      <w:pPr>
        <w:spacing w:before="25" w:after="0"/>
        <w:jc w:val="both"/>
        <w:rPr>
          <w:szCs w:val="24"/>
        </w:rPr>
      </w:pPr>
      <w:r w:rsidRPr="00DB2161">
        <w:rPr>
          <w:szCs w:val="24"/>
        </w:rPr>
        <w:t xml:space="preserve">(…) nie jest również prawidłowa interpretacja umowy, wykluczająca zakwalifikowanie jej jako umowy o dzieło, prezentowana przez Sąd I instancji a sprowadzająca się do twierdzenia, że sprawozdanie nie mające charakteru twórczego a zatem nie będące opracowaniem </w:t>
      </w:r>
      <w:proofErr w:type="gramStart"/>
      <w:r w:rsidRPr="00DB2161">
        <w:rPr>
          <w:szCs w:val="24"/>
        </w:rPr>
        <w:t>naukowym</w:t>
      </w:r>
      <w:proofErr w:type="gramEnd"/>
      <w:r w:rsidRPr="00DB2161">
        <w:rPr>
          <w:szCs w:val="24"/>
        </w:rPr>
        <w:t xml:space="preserve"> lecz jedynie odtworzeniem przebiegu konferencji, za tego rodzaju umowę cywilnoprawną nie może być uznane. Jak bowiem wskazano, dzieło może mieć charakter materialny jak i niematerialny - przy czym rezultat niematerialny - przedmiot umowy o dzieło, nie musi odpowiadać kryteriom dzieła (utworu) w rozumieniu prawa autorskiego.</w:t>
      </w:r>
    </w:p>
    <w:p w:rsidR="00757ADD" w:rsidRDefault="00757ADD" w:rsidP="004D0C7B">
      <w:pPr>
        <w:spacing w:before="25" w:after="0"/>
        <w:jc w:val="both"/>
        <w:rPr>
          <w:szCs w:val="24"/>
        </w:rPr>
      </w:pPr>
    </w:p>
    <w:p w:rsidR="00093EFC" w:rsidRPr="00DB2161" w:rsidRDefault="00093EFC" w:rsidP="004D0C7B">
      <w:pPr>
        <w:spacing w:before="25" w:after="0"/>
        <w:jc w:val="both"/>
        <w:rPr>
          <w:szCs w:val="24"/>
        </w:rPr>
      </w:pPr>
      <w:r w:rsidRPr="00DB2161">
        <w:rPr>
          <w:szCs w:val="24"/>
        </w:rPr>
        <w:t>W konkluzji stwierdzić trzeba, że dla określenia charakteru prawnego spornej umowy jako umowy o dzieło - w kontekście oczekiwanego rezultatu - sprecyzowanego w chwili jej zawarcia, wystarczające było określenie jej rezultatu niematerialnego tj. wykorzystania danych wynikających ze sprawozdania przydatnych w prowadzonej przez spółkę działalności reklamowej - promocji leków.</w:t>
      </w:r>
    </w:p>
    <w:p w:rsidR="00F24A9F" w:rsidRPr="008C1C33" w:rsidRDefault="005C277C" w:rsidP="004D0C7B">
      <w:pPr>
        <w:spacing w:after="0"/>
        <w:jc w:val="both"/>
        <w:rPr>
          <w:b/>
          <w:szCs w:val="24"/>
        </w:rPr>
      </w:pPr>
      <w:r w:rsidRPr="00DB2161">
        <w:rPr>
          <w:szCs w:val="24"/>
        </w:rPr>
        <w:br/>
      </w:r>
      <w:r w:rsidR="00167E0D" w:rsidRPr="008C1C33">
        <w:rPr>
          <w:b/>
          <w:color w:val="FF0000"/>
          <w:szCs w:val="24"/>
        </w:rPr>
        <w:t>Najważniejsze fragmenty uzasadnienia wyroku</w:t>
      </w:r>
    </w:p>
    <w:p w:rsidR="00167E0D" w:rsidRPr="004D0C7B" w:rsidRDefault="00167E0D" w:rsidP="004D0C7B">
      <w:pPr>
        <w:spacing w:after="0"/>
        <w:jc w:val="both"/>
        <w:rPr>
          <w:szCs w:val="24"/>
        </w:rPr>
      </w:pPr>
    </w:p>
    <w:p w:rsidR="00167E0D" w:rsidRPr="004D0C7B" w:rsidRDefault="00167E0D" w:rsidP="006A6622">
      <w:pPr>
        <w:spacing w:before="25" w:after="0"/>
        <w:ind w:firstLine="708"/>
        <w:jc w:val="both"/>
        <w:rPr>
          <w:szCs w:val="24"/>
        </w:rPr>
      </w:pPr>
      <w:r w:rsidRPr="004D0C7B">
        <w:rPr>
          <w:szCs w:val="24"/>
        </w:rPr>
        <w:t>(…)</w:t>
      </w:r>
      <w:r w:rsidR="008C1C33">
        <w:rPr>
          <w:szCs w:val="24"/>
        </w:rPr>
        <w:t xml:space="preserve"> </w:t>
      </w:r>
      <w:r w:rsidR="005C277C" w:rsidRPr="004D0C7B">
        <w:rPr>
          <w:szCs w:val="24"/>
        </w:rPr>
        <w:t xml:space="preserve">W ocenie Naczelnego Sądu Administracyjnego, trafne są zarzuty skargi kasacyjnej dotyczące naruszenia przepisów postępowania wskazanych w pkt I </w:t>
      </w:r>
      <w:proofErr w:type="spellStart"/>
      <w:r w:rsidR="005C277C" w:rsidRPr="004D0C7B">
        <w:rPr>
          <w:szCs w:val="24"/>
        </w:rPr>
        <w:t>ppkt</w:t>
      </w:r>
      <w:proofErr w:type="spellEnd"/>
      <w:r w:rsidR="005C277C" w:rsidRPr="004D0C7B">
        <w:rPr>
          <w:szCs w:val="24"/>
        </w:rPr>
        <w:t xml:space="preserve"> 1 i 2 jej petitum. </w:t>
      </w:r>
    </w:p>
    <w:p w:rsidR="00F24A9F" w:rsidRPr="004D0C7B" w:rsidRDefault="00167E0D" w:rsidP="004D0C7B">
      <w:pPr>
        <w:spacing w:before="25" w:after="0"/>
        <w:jc w:val="both"/>
        <w:rPr>
          <w:szCs w:val="24"/>
        </w:rPr>
      </w:pPr>
      <w:r w:rsidRPr="004D0C7B">
        <w:rPr>
          <w:szCs w:val="24"/>
        </w:rPr>
        <w:t>(…)</w:t>
      </w:r>
      <w:r w:rsidR="006A6622">
        <w:rPr>
          <w:szCs w:val="24"/>
        </w:rPr>
        <w:t xml:space="preserve"> </w:t>
      </w:r>
      <w:r w:rsidR="00093EFC" w:rsidRPr="004D0C7B">
        <w:rPr>
          <w:szCs w:val="24"/>
        </w:rPr>
        <w:t xml:space="preserve">trafne są zarzuty skargi kasacyjnej dotyczące naruszenia przepisów postępowania wskazanych w pkt I </w:t>
      </w:r>
      <w:proofErr w:type="spellStart"/>
      <w:r w:rsidR="00093EFC" w:rsidRPr="004D0C7B">
        <w:rPr>
          <w:szCs w:val="24"/>
        </w:rPr>
        <w:t>ppkt</w:t>
      </w:r>
      <w:proofErr w:type="spellEnd"/>
      <w:r w:rsidR="00093EFC" w:rsidRPr="004D0C7B">
        <w:rPr>
          <w:szCs w:val="24"/>
        </w:rPr>
        <w:t xml:space="preserve"> 1 i 2 jej petitum. Zarzuty te kwestionują ustalony przez organ i zaakceptowany przez Sąd I instancji stan faktyczny poprzez nieprawidłową wykładnię treści umowy z dnia (...) grudnia 2010 r., co doprowadziło do uznania, że </w:t>
      </w:r>
      <w:r w:rsidR="005C277C" w:rsidRPr="004D0C7B">
        <w:rPr>
          <w:szCs w:val="24"/>
        </w:rPr>
        <w:t>umowa ma charakter umowy zlecenia (ew. umowy o świadczenie usług, do której należy stosować przepisy o zleceniu), podczas gdy przedmiotem umowy jest oznaczone dzieło o charakterze niematerialnym, znajdujące dodatkowo ucieleśnienie w przygotowanym opracowaniu, a zatem umowa ma charakter umowy o dzieło.</w:t>
      </w:r>
    </w:p>
    <w:p w:rsidR="00F24A9F" w:rsidRPr="004D0C7B" w:rsidRDefault="00167E0D" w:rsidP="006A6622">
      <w:pPr>
        <w:spacing w:before="25" w:after="0"/>
        <w:ind w:firstLine="708"/>
        <w:jc w:val="both"/>
        <w:rPr>
          <w:szCs w:val="24"/>
        </w:rPr>
      </w:pPr>
      <w:r w:rsidRPr="004D0C7B">
        <w:rPr>
          <w:szCs w:val="24"/>
        </w:rPr>
        <w:t xml:space="preserve">(…) </w:t>
      </w:r>
      <w:r w:rsidR="005C277C" w:rsidRPr="004D0C7B">
        <w:rPr>
          <w:szCs w:val="24"/>
        </w:rPr>
        <w:t>jej wykonawca zobowiązany był do przygotowania dla zamawiającego (A. sp. z o.o.) sprawozdania z sympozjum naukowego, które odbyło się w dniach od (...) do (...) grudnia 2010 r. zaś cel wykonania sprawozdania został określony w pkt 2 umowy i stanowiło go "wykorzystanie w prowadzonej przez spółkę działalności reklamowej - promocji leków". Kwestie związane z określeniem konkretnej kwoty wynagrodzenia za sporządzone sprawozdanie jak i właściwe przygotowanie zawodowe osoby do jego wykonania nie były sporne.</w:t>
      </w:r>
    </w:p>
    <w:p w:rsidR="00167E0D" w:rsidRPr="004D0C7B" w:rsidRDefault="00167E0D" w:rsidP="00063119">
      <w:pPr>
        <w:spacing w:before="25" w:after="0"/>
        <w:ind w:firstLine="708"/>
        <w:jc w:val="both"/>
        <w:rPr>
          <w:szCs w:val="24"/>
        </w:rPr>
      </w:pPr>
      <w:r w:rsidRPr="004D0C7B">
        <w:rPr>
          <w:szCs w:val="24"/>
        </w:rPr>
        <w:t>(…)</w:t>
      </w:r>
      <w:r w:rsidR="00510FE2">
        <w:rPr>
          <w:szCs w:val="24"/>
        </w:rPr>
        <w:t xml:space="preserve"> </w:t>
      </w:r>
      <w:r w:rsidR="005C277C" w:rsidRPr="004D0C7B">
        <w:rPr>
          <w:szCs w:val="24"/>
        </w:rPr>
        <w:t xml:space="preserve">w niniejszej sprawie, nie zostało w żaden sposób wyjaśnione, co - zdecydowało o przyjęciu stanowiska, że kontrolowana umowa nie poddaje się sprawdzianowi na istnienie wad fizycznych. Pamiętać jednocześnie trzeba, że przedmiotem umowy określonej w art. 627 k.c. jest zobowiązanie do wykonania określonego dzieła poprzez stworzenie czegoś lub przetworzenie do postaci w jakiej dotychczas nie istniało. W świetle orzecznictwa nie budzi wątpliwości, że dzieło może mieć charakter materialny jak i niematerialny - przy czym rezultat </w:t>
      </w:r>
      <w:r w:rsidR="005C277C" w:rsidRPr="004D0C7B">
        <w:rPr>
          <w:szCs w:val="24"/>
        </w:rPr>
        <w:lastRenderedPageBreak/>
        <w:t>niematerialny - przedmiot umowy o dzieło, nie musi odpowiadać kryteriom dzieła (utworu) w rozumieniu prawa autorskiego</w:t>
      </w:r>
      <w:r w:rsidR="00063119">
        <w:rPr>
          <w:szCs w:val="24"/>
        </w:rPr>
        <w:t xml:space="preserve"> </w:t>
      </w:r>
      <w:r w:rsidRPr="004D0C7B">
        <w:rPr>
          <w:szCs w:val="24"/>
        </w:rPr>
        <w:t>(…)</w:t>
      </w:r>
      <w:r w:rsidR="00063119">
        <w:rPr>
          <w:szCs w:val="24"/>
        </w:rPr>
        <w:t>.</w:t>
      </w:r>
    </w:p>
    <w:p w:rsidR="00167E0D" w:rsidRPr="004D0C7B" w:rsidRDefault="005C277C" w:rsidP="005A0159">
      <w:pPr>
        <w:spacing w:before="25" w:after="0"/>
        <w:ind w:firstLine="708"/>
        <w:jc w:val="both"/>
        <w:rPr>
          <w:szCs w:val="24"/>
        </w:rPr>
      </w:pPr>
      <w:r w:rsidRPr="004D0C7B">
        <w:rPr>
          <w:szCs w:val="24"/>
        </w:rPr>
        <w:t xml:space="preserve">Podkreślenia zatem wymaga, że skarżąca kasacyjnie jako rezultat niematerialny (wynikający ze spornej umowy) wskazuje wykorzystanie "danych" ze sprawozdania w prowadzonej działalności reklamowej - promocji leków. Zdaniem Naczelnego Sądu Administracyjnego wynika to wprost z zapisu punktu 2 umowy z dnia (...) grudnia 2010 r. Zauważyć natomiast należy, że czym innym jest określenie rezultatu w momencie zawierania umowy o dzieło i danie temu wyrazu w jej postanowieniach, co w omawianym przypadku poddaje się sprawdzianowi na istnienie wad fizycznych (na podstawie art. 556 ze zn.1 § 1 pkt 1 k.c. wada fizyczna polega na niezgodności rzeczy sprzedanej z umową. W szczególności rzecz sprzedana jest niezgodna z umową, jeżeli: nie ma właściwości, które rzecz tego rodzaju powinna mieć ze względu na cel w umowie oznaczony albo wynikający z okoliczności lub przeznaczenia) a czym innym należyte wykonanie tego zobowiązania zgodnie z umową. Innymi słowy możliwy jest do zweryfikowania w zakresie tej konkretnej umowy efekt w postaci przysłużenia bądź </w:t>
      </w:r>
      <w:proofErr w:type="gramStart"/>
      <w:r w:rsidRPr="004D0C7B">
        <w:rPr>
          <w:szCs w:val="24"/>
        </w:rPr>
        <w:t>nie przysłużenia</w:t>
      </w:r>
      <w:proofErr w:type="gramEnd"/>
      <w:r w:rsidRPr="004D0C7B">
        <w:rPr>
          <w:szCs w:val="24"/>
        </w:rPr>
        <w:t xml:space="preserve"> w działalności spółki przy reklamie leków a zatem w prowadzonej przez nią działalności gospodarczej. Dodatkowo jedynie wskazać można, gdyż nie jest to konieczne dla oceny charakteru zawartej umowy, że wbrew stanowisku organu i Sądu I instancji, przedmiotowe sprawozdanie zawiera treści, które potencjalnie mogą stanowić wskazówkę dla podmiotu, którego przedmiotem działalności jest promocja leków i tylko ten podmiot dokonując oceny wywiązania się z postanowień umowy przez jego wykonawcę może uznać, czy dane sprawozdanie ma wartość gospodarczą (zakładaną w momencie zawierania umowy jako rezultat w postaci źródła zawartych w nim danych) a zatem czy nie zawiera wad fizycznych, które są przeszkodą do wypłaty wynagrodzenia za wykonane dzieło</w:t>
      </w:r>
      <w:r w:rsidR="005A0159">
        <w:rPr>
          <w:szCs w:val="24"/>
        </w:rPr>
        <w:t xml:space="preserve"> </w:t>
      </w:r>
      <w:r w:rsidR="00167E0D" w:rsidRPr="004D0C7B">
        <w:rPr>
          <w:szCs w:val="24"/>
        </w:rPr>
        <w:t>(…)</w:t>
      </w:r>
      <w:r w:rsidR="005A0159">
        <w:rPr>
          <w:szCs w:val="24"/>
        </w:rPr>
        <w:t>.</w:t>
      </w:r>
    </w:p>
    <w:p w:rsidR="00F24A9F" w:rsidRPr="004D0C7B" w:rsidRDefault="005C277C" w:rsidP="005A0159">
      <w:pPr>
        <w:spacing w:before="25" w:after="0"/>
        <w:ind w:firstLine="708"/>
        <w:jc w:val="both"/>
        <w:rPr>
          <w:szCs w:val="24"/>
        </w:rPr>
      </w:pPr>
      <w:r w:rsidRPr="004D0C7B">
        <w:rPr>
          <w:szCs w:val="24"/>
        </w:rPr>
        <w:t>Jak bowiem wskazano, dzieło może mieć charakter materialny jak i niematerialny - przy czym rezultat niematerialny - przedmiot umowy o dzieło, nie musi odpowiadać kryteriom dzieła (utworu) w rozumieniu prawa autorskiego.</w:t>
      </w:r>
    </w:p>
    <w:p w:rsidR="00F24A9F" w:rsidRPr="004D0C7B" w:rsidRDefault="005C277C" w:rsidP="00FA74EB">
      <w:pPr>
        <w:spacing w:before="25" w:after="0"/>
        <w:ind w:firstLine="708"/>
        <w:jc w:val="both"/>
        <w:rPr>
          <w:szCs w:val="24"/>
        </w:rPr>
      </w:pPr>
      <w:r w:rsidRPr="004D0C7B">
        <w:rPr>
          <w:szCs w:val="24"/>
        </w:rPr>
        <w:t>W konkluzji stwierdzić trzeba, że dla określenia charakteru prawnego spornej umowy jako umowy o dzieło - w kontekście oczekiwanego rezultatu - sprecyzowanego w chwili jej zawarcia, wystarczające było określenie jej rezultatu niematerialnego tj. wykorzystania danych wynikających ze sprawozdania przydatnych w prowadzonej przez spółkę działalności reklamowej - promocji leków.</w:t>
      </w:r>
    </w:p>
    <w:p w:rsidR="00F24A9F" w:rsidRPr="004D0C7B" w:rsidRDefault="005C277C" w:rsidP="00933E56">
      <w:pPr>
        <w:spacing w:before="25" w:after="0"/>
        <w:ind w:firstLine="708"/>
        <w:jc w:val="both"/>
        <w:rPr>
          <w:szCs w:val="24"/>
        </w:rPr>
      </w:pPr>
      <w:r w:rsidRPr="004D0C7B">
        <w:rPr>
          <w:szCs w:val="24"/>
        </w:rPr>
        <w:t>Podsumowując, zdaniem Sądu drugiej instancji, ocena charakteru spornej umowy dokonana przez organy i Sąd I instancji była wadliwa, co czyni zarzut naruszenia przepisów postępowania wskazanych w petitum skargi kasacyjnej i ich istotnego wpływu na wynik sprawy usprawiedliwiony, gdyż tymi zarzutami skarżąca kasacyjnie skutecznie zakwestionowała stan faktyczny stanowiący podstawę subsumpcji przepisu prawa materialnego</w:t>
      </w:r>
      <w:r w:rsidR="00933E56">
        <w:rPr>
          <w:szCs w:val="24"/>
        </w:rPr>
        <w:t xml:space="preserve"> </w:t>
      </w:r>
      <w:r w:rsidR="00A32661" w:rsidRPr="004D0C7B">
        <w:rPr>
          <w:szCs w:val="24"/>
        </w:rPr>
        <w:t>(…)</w:t>
      </w:r>
      <w:r w:rsidR="00933E56">
        <w:rPr>
          <w:szCs w:val="24"/>
        </w:rPr>
        <w:t>.</w:t>
      </w:r>
    </w:p>
    <w:p w:rsidR="005C277C" w:rsidRPr="004D0C7B" w:rsidRDefault="005C277C" w:rsidP="004D0C7B">
      <w:pPr>
        <w:spacing w:after="0"/>
        <w:jc w:val="both"/>
        <w:rPr>
          <w:rStyle w:val="ng-binding"/>
          <w:szCs w:val="24"/>
        </w:rPr>
      </w:pPr>
    </w:p>
    <w:p w:rsidR="00E309DE" w:rsidRPr="004D0C7B" w:rsidRDefault="005C277C" w:rsidP="004D0C7B">
      <w:pPr>
        <w:spacing w:after="0"/>
        <w:jc w:val="both"/>
        <w:rPr>
          <w:rStyle w:val="ng-binding"/>
          <w:szCs w:val="24"/>
        </w:rPr>
      </w:pPr>
      <w:r w:rsidRPr="001437AA">
        <w:rPr>
          <w:rStyle w:val="ng-binding"/>
          <w:szCs w:val="24"/>
        </w:rPr>
        <w:t>Wyrok</w:t>
      </w:r>
      <w:r w:rsidR="001437AA" w:rsidRPr="001437AA">
        <w:rPr>
          <w:rStyle w:val="ng-binding"/>
          <w:szCs w:val="24"/>
        </w:rPr>
        <w:t xml:space="preserve"> </w:t>
      </w:r>
      <w:r w:rsidRPr="001437AA">
        <w:rPr>
          <w:rStyle w:val="ng-binding"/>
          <w:szCs w:val="24"/>
        </w:rPr>
        <w:t>powiązan</w:t>
      </w:r>
      <w:r w:rsidR="001437AA" w:rsidRPr="001437AA">
        <w:rPr>
          <w:rStyle w:val="ng-binding"/>
          <w:szCs w:val="24"/>
        </w:rPr>
        <w:t>y</w:t>
      </w:r>
      <w:r w:rsidR="001437AA">
        <w:rPr>
          <w:rStyle w:val="ng-binding"/>
          <w:b/>
          <w:szCs w:val="24"/>
        </w:rPr>
        <w:t xml:space="preserve"> - w</w:t>
      </w:r>
      <w:r w:rsidR="00E309DE" w:rsidRPr="004D0C7B">
        <w:rPr>
          <w:rStyle w:val="ng-binding"/>
          <w:szCs w:val="24"/>
        </w:rPr>
        <w:t>yrok Wojewódzkiego Sądu Administracyjnego w Warszawie z 19 kwietnia 2016 r., sygn. akt VI SA/</w:t>
      </w:r>
      <w:proofErr w:type="spellStart"/>
      <w:r w:rsidR="00E309DE" w:rsidRPr="004D0C7B">
        <w:rPr>
          <w:rStyle w:val="ng-binding"/>
          <w:szCs w:val="24"/>
        </w:rPr>
        <w:t>Wa</w:t>
      </w:r>
      <w:proofErr w:type="spellEnd"/>
      <w:r w:rsidR="00E309DE" w:rsidRPr="004D0C7B">
        <w:rPr>
          <w:rStyle w:val="ng-binding"/>
          <w:szCs w:val="24"/>
        </w:rPr>
        <w:t xml:space="preserve"> 2722/15</w:t>
      </w:r>
      <w:r w:rsidR="001437AA">
        <w:rPr>
          <w:rStyle w:val="ng-binding"/>
          <w:szCs w:val="24"/>
        </w:rPr>
        <w:t>.</w:t>
      </w:r>
    </w:p>
    <w:p w:rsidR="00E309DE" w:rsidRDefault="00E309DE" w:rsidP="004D0C7B">
      <w:pPr>
        <w:spacing w:after="0"/>
        <w:jc w:val="both"/>
        <w:rPr>
          <w:rStyle w:val="ng-binding"/>
          <w:szCs w:val="24"/>
        </w:rPr>
      </w:pPr>
    </w:p>
    <w:p w:rsidR="00401945" w:rsidRDefault="00401945" w:rsidP="004D0C7B">
      <w:pPr>
        <w:spacing w:after="0"/>
        <w:jc w:val="both"/>
        <w:rPr>
          <w:rStyle w:val="ng-binding"/>
          <w:szCs w:val="24"/>
        </w:rPr>
      </w:pPr>
    </w:p>
    <w:p w:rsidR="00401945" w:rsidRPr="004D0C7B" w:rsidRDefault="00401945" w:rsidP="004D0C7B">
      <w:pPr>
        <w:spacing w:after="0"/>
        <w:jc w:val="both"/>
        <w:rPr>
          <w:rStyle w:val="ng-binding"/>
          <w:szCs w:val="24"/>
        </w:rPr>
      </w:pPr>
    </w:p>
    <w:p w:rsidR="001437AA" w:rsidRDefault="001437AA" w:rsidP="001437AA">
      <w:pPr>
        <w:jc w:val="both"/>
        <w:rPr>
          <w:color w:val="FF2600"/>
        </w:rPr>
      </w:pPr>
      <w:r>
        <w:rPr>
          <w:b/>
          <w:bCs/>
          <w:color w:val="FF2600"/>
        </w:rPr>
        <w:lastRenderedPageBreak/>
        <w:t>Kluczowe przepisy</w:t>
      </w:r>
    </w:p>
    <w:p w:rsidR="001437AA" w:rsidRPr="00246859" w:rsidRDefault="001437AA" w:rsidP="001437AA">
      <w:pPr>
        <w:spacing w:after="0"/>
        <w:jc w:val="both"/>
        <w:rPr>
          <w:rStyle w:val="ng-binding"/>
          <w:b/>
          <w:szCs w:val="24"/>
        </w:rPr>
      </w:pPr>
      <w:r w:rsidRPr="00246859">
        <w:rPr>
          <w:b/>
          <w:szCs w:val="24"/>
        </w:rPr>
        <w:t xml:space="preserve">Ustawa z dnia 23 kwietnia 1964 r. - </w:t>
      </w:r>
      <w:r w:rsidRPr="00246859">
        <w:rPr>
          <w:b/>
          <w:bCs/>
          <w:szCs w:val="24"/>
        </w:rPr>
        <w:t xml:space="preserve">Kodeks cywilny (tekst jedn. </w:t>
      </w:r>
      <w:r w:rsidRPr="00246859">
        <w:rPr>
          <w:rStyle w:val="ng-binding"/>
          <w:b/>
          <w:szCs w:val="24"/>
        </w:rPr>
        <w:t xml:space="preserve">Dz.U. z 2018 poz. 1025 ze zm.) </w:t>
      </w:r>
    </w:p>
    <w:p w:rsidR="00E309DE" w:rsidRPr="004D0C7B" w:rsidRDefault="00E309DE" w:rsidP="004D0C7B">
      <w:pPr>
        <w:spacing w:after="0"/>
        <w:jc w:val="both"/>
        <w:rPr>
          <w:rStyle w:val="ng-binding"/>
          <w:szCs w:val="24"/>
        </w:rPr>
      </w:pPr>
    </w:p>
    <w:p w:rsidR="002E4BAB" w:rsidRPr="004D0C7B" w:rsidRDefault="002E4BAB" w:rsidP="004D0C7B">
      <w:pPr>
        <w:spacing w:after="0"/>
        <w:jc w:val="both"/>
        <w:rPr>
          <w:szCs w:val="24"/>
        </w:rPr>
      </w:pPr>
      <w:r w:rsidRPr="004D0C7B">
        <w:rPr>
          <w:b/>
          <w:bCs/>
          <w:szCs w:val="24"/>
        </w:rPr>
        <w:t xml:space="preserve">Art.  65 </w:t>
      </w:r>
    </w:p>
    <w:p w:rsidR="002E4BAB" w:rsidRPr="004D0C7B" w:rsidRDefault="002E4BAB" w:rsidP="004D0C7B">
      <w:pPr>
        <w:spacing w:after="0"/>
        <w:jc w:val="both"/>
        <w:rPr>
          <w:szCs w:val="24"/>
        </w:rPr>
      </w:pPr>
      <w:proofErr w:type="gramStart"/>
      <w:r w:rsidRPr="004D0C7B">
        <w:rPr>
          <w:b/>
          <w:bCs/>
          <w:szCs w:val="24"/>
        </w:rPr>
        <w:t>§  1.</w:t>
      </w:r>
      <w:proofErr w:type="gramEnd"/>
      <w:r w:rsidRPr="004D0C7B">
        <w:rPr>
          <w:b/>
          <w:bCs/>
          <w:szCs w:val="24"/>
        </w:rPr>
        <w:t xml:space="preserve">  </w:t>
      </w:r>
      <w:r w:rsidRPr="004D0C7B">
        <w:rPr>
          <w:szCs w:val="24"/>
        </w:rPr>
        <w:t>Oświadczenie woli należy tak tłumaczyć, jak tego wymagają ze względu na okoliczności, w których złożone zostało, zasady współżycia społecznego oraz ustalone zwyczaje.</w:t>
      </w:r>
    </w:p>
    <w:p w:rsidR="002E4BAB" w:rsidRPr="004D0C7B" w:rsidRDefault="002E4BAB" w:rsidP="004D0C7B">
      <w:pPr>
        <w:spacing w:after="0"/>
        <w:jc w:val="both"/>
        <w:rPr>
          <w:szCs w:val="24"/>
        </w:rPr>
      </w:pPr>
      <w:proofErr w:type="gramStart"/>
      <w:r w:rsidRPr="004D0C7B">
        <w:rPr>
          <w:b/>
          <w:bCs/>
          <w:szCs w:val="24"/>
        </w:rPr>
        <w:t>§  2.</w:t>
      </w:r>
      <w:proofErr w:type="gramEnd"/>
      <w:r w:rsidRPr="004D0C7B">
        <w:rPr>
          <w:b/>
          <w:bCs/>
          <w:szCs w:val="24"/>
        </w:rPr>
        <w:t xml:space="preserve">  </w:t>
      </w:r>
      <w:r w:rsidRPr="004D0C7B">
        <w:rPr>
          <w:szCs w:val="24"/>
        </w:rPr>
        <w:t>W umowach należy raczej badać, jaki był zgodny zamiar stron i cel umowy, aniżeli opierać się na jej dosłownym brzmieniu.</w:t>
      </w:r>
    </w:p>
    <w:p w:rsidR="002E4BAB" w:rsidRPr="004D0C7B" w:rsidRDefault="002E4BAB" w:rsidP="004D0C7B">
      <w:pPr>
        <w:spacing w:after="0"/>
        <w:jc w:val="both"/>
        <w:rPr>
          <w:rStyle w:val="ng-binding"/>
          <w:szCs w:val="24"/>
        </w:rPr>
      </w:pPr>
    </w:p>
    <w:p w:rsidR="002E4BAB" w:rsidRPr="004D0C7B" w:rsidRDefault="007D5CCD" w:rsidP="004D0C7B">
      <w:pPr>
        <w:spacing w:after="0"/>
        <w:jc w:val="both"/>
        <w:rPr>
          <w:szCs w:val="24"/>
        </w:rPr>
      </w:pPr>
      <w:r w:rsidRPr="004D0C7B">
        <w:rPr>
          <w:b/>
          <w:bCs/>
          <w:szCs w:val="24"/>
        </w:rPr>
        <w:t xml:space="preserve">Art.  627 </w:t>
      </w:r>
    </w:p>
    <w:p w:rsidR="007D5CCD" w:rsidRPr="004D0C7B" w:rsidRDefault="007D5CCD" w:rsidP="004D0C7B">
      <w:pPr>
        <w:spacing w:after="0"/>
        <w:jc w:val="both"/>
        <w:rPr>
          <w:szCs w:val="24"/>
        </w:rPr>
      </w:pPr>
      <w:r w:rsidRPr="004D0C7B">
        <w:rPr>
          <w:szCs w:val="24"/>
        </w:rPr>
        <w:t>Przez umowę o dzieło przyjmujący zamówienie zobowiązuje się do wykonania oznaczonego dzieła, a zamawiający do zapłaty wynagrodzenia.</w:t>
      </w:r>
    </w:p>
    <w:p w:rsidR="002E4BAB" w:rsidRPr="004D0C7B" w:rsidRDefault="002E4BAB" w:rsidP="004D0C7B">
      <w:pPr>
        <w:spacing w:after="0"/>
        <w:jc w:val="both"/>
        <w:rPr>
          <w:b/>
          <w:bCs/>
          <w:szCs w:val="24"/>
        </w:rPr>
      </w:pPr>
    </w:p>
    <w:p w:rsidR="007D5CCD" w:rsidRPr="004D0C7B" w:rsidRDefault="007D5CCD" w:rsidP="004D0C7B">
      <w:pPr>
        <w:spacing w:after="0"/>
        <w:jc w:val="both"/>
        <w:rPr>
          <w:szCs w:val="24"/>
        </w:rPr>
      </w:pPr>
      <w:r w:rsidRPr="004D0C7B">
        <w:rPr>
          <w:b/>
          <w:bCs/>
          <w:szCs w:val="24"/>
        </w:rPr>
        <w:t xml:space="preserve">Art.  734 </w:t>
      </w:r>
    </w:p>
    <w:p w:rsidR="007D5CCD" w:rsidRPr="004D0C7B" w:rsidRDefault="007D5CCD" w:rsidP="004D0C7B">
      <w:pPr>
        <w:spacing w:after="0"/>
        <w:jc w:val="both"/>
        <w:rPr>
          <w:szCs w:val="24"/>
        </w:rPr>
      </w:pPr>
      <w:proofErr w:type="gramStart"/>
      <w:r w:rsidRPr="004D0C7B">
        <w:rPr>
          <w:b/>
          <w:bCs/>
          <w:szCs w:val="24"/>
        </w:rPr>
        <w:t>§  1.</w:t>
      </w:r>
      <w:proofErr w:type="gramEnd"/>
      <w:r w:rsidRPr="004D0C7B">
        <w:rPr>
          <w:b/>
          <w:bCs/>
          <w:szCs w:val="24"/>
        </w:rPr>
        <w:t xml:space="preserve">  </w:t>
      </w:r>
      <w:r w:rsidRPr="004D0C7B">
        <w:rPr>
          <w:szCs w:val="24"/>
        </w:rPr>
        <w:t>Przez umowę zlecenia przyjmujący zlecenie zobowiązuje się do dokonania określonej czynności prawnej dla dającego zlecenie.</w:t>
      </w:r>
    </w:p>
    <w:p w:rsidR="007D5CCD" w:rsidRPr="004D0C7B" w:rsidRDefault="007D5CCD" w:rsidP="004D0C7B">
      <w:pPr>
        <w:spacing w:after="0"/>
        <w:jc w:val="both"/>
        <w:rPr>
          <w:szCs w:val="24"/>
        </w:rPr>
      </w:pPr>
      <w:proofErr w:type="gramStart"/>
      <w:r w:rsidRPr="004D0C7B">
        <w:rPr>
          <w:b/>
          <w:bCs/>
          <w:szCs w:val="24"/>
        </w:rPr>
        <w:t>§  2.</w:t>
      </w:r>
      <w:proofErr w:type="gramEnd"/>
      <w:r w:rsidRPr="004D0C7B">
        <w:rPr>
          <w:b/>
          <w:bCs/>
          <w:szCs w:val="24"/>
        </w:rPr>
        <w:t xml:space="preserve">  </w:t>
      </w:r>
      <w:r w:rsidRPr="004D0C7B">
        <w:rPr>
          <w:szCs w:val="24"/>
        </w:rPr>
        <w:t>W braku odmiennej umowy zlecenie obejmuje umocowanie do wykonania czynności w imieniu dającego zlecenie. Przepis ten nie uchybia przepisom o formie pełnomocnictwa.</w:t>
      </w:r>
    </w:p>
    <w:p w:rsidR="007D5CCD" w:rsidRPr="004D0C7B" w:rsidRDefault="007D5CCD" w:rsidP="004D0C7B">
      <w:pPr>
        <w:spacing w:before="120" w:after="0"/>
        <w:jc w:val="both"/>
        <w:rPr>
          <w:szCs w:val="24"/>
        </w:rPr>
      </w:pPr>
    </w:p>
    <w:p w:rsidR="002E4BAB" w:rsidRPr="004D0C7B" w:rsidRDefault="002E4BAB" w:rsidP="004D0C7B">
      <w:pPr>
        <w:spacing w:after="0"/>
        <w:jc w:val="both"/>
        <w:rPr>
          <w:szCs w:val="24"/>
        </w:rPr>
      </w:pPr>
      <w:r w:rsidRPr="004D0C7B">
        <w:rPr>
          <w:b/>
          <w:bCs/>
          <w:szCs w:val="24"/>
        </w:rPr>
        <w:t xml:space="preserve">Art.  750 </w:t>
      </w:r>
    </w:p>
    <w:p w:rsidR="002E4BAB" w:rsidRPr="004D0C7B" w:rsidRDefault="002E4BAB" w:rsidP="004D0C7B">
      <w:pPr>
        <w:spacing w:after="0"/>
        <w:jc w:val="both"/>
        <w:rPr>
          <w:szCs w:val="24"/>
        </w:rPr>
      </w:pPr>
      <w:r w:rsidRPr="004D0C7B">
        <w:rPr>
          <w:szCs w:val="24"/>
        </w:rPr>
        <w:t>Do umów o świadczenie usług, które nie są uregulowane innymi przepisami, stosuje się odpowiednio przepisy o zleceniu.</w:t>
      </w:r>
    </w:p>
    <w:p w:rsidR="007D5CCD" w:rsidRPr="004D0C7B" w:rsidRDefault="007D5CCD" w:rsidP="004D0C7B">
      <w:pPr>
        <w:spacing w:before="25" w:after="0"/>
        <w:jc w:val="both"/>
        <w:rPr>
          <w:szCs w:val="24"/>
        </w:rPr>
      </w:pPr>
    </w:p>
    <w:p w:rsidR="0053354A" w:rsidRPr="00246859" w:rsidRDefault="0053354A" w:rsidP="004D0C7B">
      <w:pPr>
        <w:spacing w:after="0"/>
        <w:jc w:val="both"/>
        <w:rPr>
          <w:b/>
          <w:bCs/>
          <w:szCs w:val="24"/>
        </w:rPr>
      </w:pPr>
      <w:r w:rsidRPr="00246859">
        <w:rPr>
          <w:b/>
          <w:szCs w:val="24"/>
        </w:rPr>
        <w:t xml:space="preserve">Ustawa z dnia 27 sierpnia 2004 r. - </w:t>
      </w:r>
      <w:r w:rsidRPr="00246859">
        <w:rPr>
          <w:b/>
          <w:bCs/>
          <w:szCs w:val="24"/>
        </w:rPr>
        <w:t xml:space="preserve">o świadczeniach opieki zdrowotnej finansowanych ze środków publicznych (tekst jedn. </w:t>
      </w:r>
      <w:r w:rsidRPr="00246859">
        <w:rPr>
          <w:rStyle w:val="ng-binding"/>
          <w:b/>
          <w:szCs w:val="24"/>
        </w:rPr>
        <w:t>Dz.U. z 2018 poz. 1510</w:t>
      </w:r>
      <w:r w:rsidR="00772419">
        <w:rPr>
          <w:rStyle w:val="ng-binding"/>
          <w:b/>
          <w:szCs w:val="24"/>
        </w:rPr>
        <w:t xml:space="preserve"> ze zm.</w:t>
      </w:r>
      <w:r w:rsidRPr="00246859">
        <w:rPr>
          <w:rStyle w:val="ng-binding"/>
          <w:b/>
          <w:szCs w:val="24"/>
        </w:rPr>
        <w:t>)</w:t>
      </w:r>
    </w:p>
    <w:p w:rsidR="0053354A" w:rsidRPr="00246859" w:rsidRDefault="0053354A" w:rsidP="004D0C7B">
      <w:pPr>
        <w:spacing w:before="25" w:after="0"/>
        <w:jc w:val="both"/>
        <w:rPr>
          <w:b/>
          <w:szCs w:val="24"/>
        </w:rPr>
      </w:pPr>
    </w:p>
    <w:p w:rsidR="002E4BAB" w:rsidRPr="004D0C7B" w:rsidRDefault="002E4BAB" w:rsidP="004D0C7B">
      <w:pPr>
        <w:spacing w:after="0"/>
        <w:jc w:val="both"/>
        <w:rPr>
          <w:szCs w:val="24"/>
        </w:rPr>
      </w:pPr>
      <w:r w:rsidRPr="004D0C7B">
        <w:rPr>
          <w:b/>
          <w:bCs/>
          <w:szCs w:val="24"/>
        </w:rPr>
        <w:t xml:space="preserve">Art.  66 </w:t>
      </w:r>
    </w:p>
    <w:p w:rsidR="002E4BAB" w:rsidRPr="004D0C7B" w:rsidRDefault="00DE2C6D" w:rsidP="004D0C7B">
      <w:pPr>
        <w:spacing w:after="0"/>
        <w:jc w:val="both"/>
        <w:rPr>
          <w:szCs w:val="24"/>
        </w:rPr>
      </w:pPr>
      <w:r w:rsidRPr="004D0C7B">
        <w:rPr>
          <w:b/>
          <w:szCs w:val="24"/>
        </w:rPr>
        <w:t>Ust. 1</w:t>
      </w:r>
      <w:r w:rsidRPr="004D0C7B">
        <w:rPr>
          <w:szCs w:val="24"/>
        </w:rPr>
        <w:t xml:space="preserve"> </w:t>
      </w:r>
      <w:r w:rsidR="002E4BAB" w:rsidRPr="004D0C7B">
        <w:rPr>
          <w:szCs w:val="24"/>
        </w:rPr>
        <w:t>Obowiązkowi ubezpieczenia zdrowotnego podlegają:</w:t>
      </w:r>
    </w:p>
    <w:p w:rsidR="0053354A" w:rsidRPr="004D0C7B" w:rsidRDefault="0053354A" w:rsidP="004D0C7B">
      <w:pPr>
        <w:spacing w:after="0"/>
        <w:jc w:val="both"/>
        <w:rPr>
          <w:szCs w:val="24"/>
        </w:rPr>
      </w:pPr>
      <w:r w:rsidRPr="004D0C7B">
        <w:rPr>
          <w:rStyle w:val="alb"/>
          <w:szCs w:val="24"/>
        </w:rPr>
        <w:t xml:space="preserve">1) </w:t>
      </w:r>
      <w:r w:rsidRPr="004D0C7B">
        <w:rPr>
          <w:szCs w:val="24"/>
        </w:rPr>
        <w:t>osoby spełniające warunki do objęcia ubezpieczeniami społecznymi lub ubezpieczeniem społecznym rolników, które są:</w:t>
      </w:r>
    </w:p>
    <w:p w:rsidR="002E4BAB" w:rsidRPr="004D0C7B" w:rsidRDefault="002E4BAB" w:rsidP="004D0C7B">
      <w:pPr>
        <w:spacing w:before="25" w:after="0"/>
        <w:jc w:val="both"/>
        <w:rPr>
          <w:szCs w:val="24"/>
        </w:rPr>
      </w:pPr>
      <w:r w:rsidRPr="004D0C7B">
        <w:rPr>
          <w:rStyle w:val="alb"/>
          <w:szCs w:val="24"/>
        </w:rPr>
        <w:t xml:space="preserve">e) </w:t>
      </w:r>
      <w:r w:rsidRPr="004D0C7B">
        <w:rPr>
          <w:szCs w:val="24"/>
        </w:rPr>
        <w:t xml:space="preserve">osobami wykonującymi pracę na podstawie umowy agencyjnej lub umowy zlecenia albo innej umowy o świadczenie usług, do której stosuje się przepisy </w:t>
      </w:r>
      <w:hyperlink r:id="rId5" w:anchor="/document/16785996?cm=DOCUMENT" w:history="1">
        <w:r w:rsidRPr="004D0C7B">
          <w:rPr>
            <w:rStyle w:val="Hipercze"/>
            <w:rFonts w:eastAsiaTheme="majorEastAsia"/>
            <w:color w:val="auto"/>
            <w:szCs w:val="24"/>
            <w:u w:val="none"/>
          </w:rPr>
          <w:t>Kodeksu cywilnego</w:t>
        </w:r>
      </w:hyperlink>
      <w:r w:rsidRPr="004D0C7B">
        <w:rPr>
          <w:szCs w:val="24"/>
        </w:rPr>
        <w:t xml:space="preserve"> dotyczące zlecenia lub osobami z nimi współpracującymi</w:t>
      </w:r>
    </w:p>
    <w:p w:rsidR="00026EF9" w:rsidRPr="004D0C7B" w:rsidRDefault="00026EF9" w:rsidP="004D0C7B">
      <w:pPr>
        <w:spacing w:before="25" w:after="0"/>
        <w:jc w:val="both"/>
        <w:rPr>
          <w:szCs w:val="24"/>
        </w:rPr>
      </w:pPr>
    </w:p>
    <w:sectPr w:rsidR="00026EF9" w:rsidRPr="004D0C7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E3BF0"/>
    <w:multiLevelType w:val="hybridMultilevel"/>
    <w:tmpl w:val="5466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1277F"/>
    <w:multiLevelType w:val="hybridMultilevel"/>
    <w:tmpl w:val="2812A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83FEB"/>
    <w:multiLevelType w:val="hybridMultilevel"/>
    <w:tmpl w:val="9886F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151D6"/>
    <w:multiLevelType w:val="multilevel"/>
    <w:tmpl w:val="7AF0C5B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9F"/>
    <w:rsid w:val="00026EF9"/>
    <w:rsid w:val="00047B90"/>
    <w:rsid w:val="00063119"/>
    <w:rsid w:val="00093EFC"/>
    <w:rsid w:val="001437AA"/>
    <w:rsid w:val="00167E0D"/>
    <w:rsid w:val="001A0472"/>
    <w:rsid w:val="00241ED0"/>
    <w:rsid w:val="00246859"/>
    <w:rsid w:val="002E4BAB"/>
    <w:rsid w:val="00394756"/>
    <w:rsid w:val="003D42FB"/>
    <w:rsid w:val="00401945"/>
    <w:rsid w:val="004D0C7B"/>
    <w:rsid w:val="00510FE2"/>
    <w:rsid w:val="0053354A"/>
    <w:rsid w:val="005851D3"/>
    <w:rsid w:val="005A0159"/>
    <w:rsid w:val="005C277C"/>
    <w:rsid w:val="006A6622"/>
    <w:rsid w:val="00757ADD"/>
    <w:rsid w:val="00772419"/>
    <w:rsid w:val="007D5CCD"/>
    <w:rsid w:val="008C1C33"/>
    <w:rsid w:val="00933E56"/>
    <w:rsid w:val="00A32661"/>
    <w:rsid w:val="00AA19B4"/>
    <w:rsid w:val="00AE063E"/>
    <w:rsid w:val="00BA5015"/>
    <w:rsid w:val="00C25D3F"/>
    <w:rsid w:val="00CE4428"/>
    <w:rsid w:val="00DB2161"/>
    <w:rsid w:val="00DE2C6D"/>
    <w:rsid w:val="00E309DE"/>
    <w:rsid w:val="00E32519"/>
    <w:rsid w:val="00E829D8"/>
    <w:rsid w:val="00F24A9F"/>
    <w:rsid w:val="00F67A3B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7EC7"/>
  <w15:docId w15:val="{03130EDF-4178-4ED9-B4D3-3DA300FE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character" w:customStyle="1" w:styleId="alb">
    <w:name w:val="a_lb"/>
    <w:basedOn w:val="Domylnaczcionkaakapitu"/>
    <w:rsid w:val="007D5CCD"/>
  </w:style>
  <w:style w:type="character" w:customStyle="1" w:styleId="alb-s">
    <w:name w:val="a_lb-s"/>
    <w:basedOn w:val="Domylnaczcionkaakapitu"/>
    <w:rsid w:val="007D5CCD"/>
  </w:style>
  <w:style w:type="paragraph" w:styleId="NormalnyWeb">
    <w:name w:val="Normal (Web)"/>
    <w:basedOn w:val="Normalny"/>
    <w:uiPriority w:val="99"/>
    <w:semiHidden/>
    <w:unhideWhenUsed/>
    <w:rsid w:val="007D5CCD"/>
    <w:pPr>
      <w:spacing w:before="100" w:beforeAutospacing="1" w:after="100" w:afterAutospacing="1" w:line="240" w:lineRule="auto"/>
    </w:pPr>
    <w:rPr>
      <w:szCs w:val="24"/>
    </w:rPr>
  </w:style>
  <w:style w:type="character" w:customStyle="1" w:styleId="ng-binding">
    <w:name w:val="ng-binding"/>
    <w:basedOn w:val="Domylnaczcionkaakapitu"/>
    <w:rsid w:val="002E4BAB"/>
  </w:style>
  <w:style w:type="character" w:customStyle="1" w:styleId="ng-scope">
    <w:name w:val="ng-scope"/>
    <w:basedOn w:val="Domylnaczcionkaakapitu"/>
    <w:rsid w:val="002E4BAB"/>
  </w:style>
  <w:style w:type="paragraph" w:styleId="Akapitzlist">
    <w:name w:val="List Paragraph"/>
    <w:basedOn w:val="Normalny"/>
    <w:uiPriority w:val="99"/>
    <w:rsid w:val="0053354A"/>
    <w:pPr>
      <w:ind w:left="720"/>
      <w:contextualSpacing/>
    </w:pPr>
  </w:style>
  <w:style w:type="character" w:customStyle="1" w:styleId="ng-binding1">
    <w:name w:val="ng-binding1"/>
    <w:basedOn w:val="Domylnaczcionkaakapitu"/>
    <w:rsid w:val="00C2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671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872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406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65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7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14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8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1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9605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989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32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5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44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6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3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MDDP Michalik Dłuska Dziedzic i Partnerzy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Bieniek</dc:creator>
  <cp:lastModifiedBy>Martyna W</cp:lastModifiedBy>
  <cp:revision>7</cp:revision>
  <dcterms:created xsi:type="dcterms:W3CDTF">2019-05-26T19:14:00Z</dcterms:created>
  <dcterms:modified xsi:type="dcterms:W3CDTF">2019-05-26T19:41:00Z</dcterms:modified>
</cp:coreProperties>
</file>