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0D0" w:rsidRDefault="00A420D0" w:rsidP="00A420D0">
      <w:pPr>
        <w:pStyle w:val="NormalnyWeb"/>
        <w:spacing w:before="120" w:beforeAutospacing="0" w:after="150" w:afterAutospacing="0" w:line="276" w:lineRule="auto"/>
        <w:ind w:left="720"/>
        <w:jc w:val="both"/>
        <w:rPr>
          <w:b/>
        </w:rPr>
      </w:pPr>
    </w:p>
    <w:p w:rsidR="004A510D" w:rsidRPr="0065243E" w:rsidRDefault="004A510D" w:rsidP="004A510D">
      <w:pPr>
        <w:spacing w:after="0" w:line="240" w:lineRule="auto"/>
        <w:jc w:val="both"/>
        <w:rPr>
          <w:color w:val="2F5496" w:themeColor="accent5" w:themeShade="BF"/>
        </w:rPr>
      </w:pPr>
      <w:r w:rsidRPr="0065243E">
        <w:rPr>
          <w:b/>
          <w:color w:val="2F5496" w:themeColor="accent5" w:themeShade="BF"/>
        </w:rPr>
        <w:t>Tzw. trójkąt umów w praktyce podmiotów leczniczych</w:t>
      </w:r>
      <w:r w:rsidRPr="0065243E">
        <w:rPr>
          <w:color w:val="2F5496" w:themeColor="accent5" w:themeShade="BF"/>
        </w:rPr>
        <w:t xml:space="preserve"> - Anna Misiak (MDDP)</w:t>
      </w:r>
    </w:p>
    <w:p w:rsidR="00A420D0" w:rsidRDefault="00A420D0" w:rsidP="0065243E">
      <w:pPr>
        <w:pStyle w:val="NormalnyWeb"/>
        <w:spacing w:before="120" w:beforeAutospacing="0" w:after="150" w:afterAutospacing="0" w:line="276" w:lineRule="auto"/>
        <w:jc w:val="both"/>
        <w:rPr>
          <w:b/>
        </w:rPr>
      </w:pPr>
    </w:p>
    <w:p w:rsidR="00C25D3F" w:rsidRDefault="00E309DE" w:rsidP="0065243E">
      <w:pPr>
        <w:pStyle w:val="NormalnyWeb"/>
        <w:spacing w:before="120" w:beforeAutospacing="0" w:after="150" w:afterAutospacing="0" w:line="276" w:lineRule="auto"/>
        <w:jc w:val="both"/>
        <w:rPr>
          <w:b/>
          <w:color w:val="FF0000"/>
        </w:rPr>
      </w:pPr>
      <w:r w:rsidRPr="00370F27">
        <w:rPr>
          <w:b/>
          <w:color w:val="FF0000"/>
        </w:rPr>
        <w:t>Wyrok Sądu Najwyższego z dnia 27 kwietnia 2017 r., sygn. akt I UK 182/16</w:t>
      </w:r>
    </w:p>
    <w:p w:rsidR="00376295" w:rsidRPr="00376295" w:rsidRDefault="00376295" w:rsidP="00376295">
      <w:pPr>
        <w:pStyle w:val="NormalnyWeb"/>
        <w:spacing w:before="120" w:after="150"/>
        <w:jc w:val="both"/>
      </w:pPr>
      <w:r w:rsidRPr="00376295">
        <w:t>Dodatkowa umowa cywilnoprawna nie ma znaczenia z punktu widzenia stosunku ubezpieczenia i objęcia ubezpieczeniami społecznymi. Ze względu na posłużenie się w art.</w:t>
      </w:r>
      <w:r w:rsidR="00B0484B">
        <w:t> </w:t>
      </w:r>
      <w:r w:rsidRPr="00376295">
        <w:t>8</w:t>
      </w:r>
      <w:r w:rsidR="00B0484B">
        <w:t> </w:t>
      </w:r>
      <w:r w:rsidRPr="00376295">
        <w:t xml:space="preserve">ust. 2a </w:t>
      </w:r>
      <w:proofErr w:type="spellStart"/>
      <w:r w:rsidRPr="00376295">
        <w:t>u.s.u.s</w:t>
      </w:r>
      <w:proofErr w:type="spellEnd"/>
      <w:r w:rsidRPr="00376295">
        <w:t>. szerokim pojęciem "pracownik", stosunek pracy łączący pracodawcę z</w:t>
      </w:r>
      <w:r w:rsidR="00B0484B">
        <w:t> </w:t>
      </w:r>
      <w:bookmarkStart w:id="0" w:name="_GoBack"/>
      <w:bookmarkEnd w:id="0"/>
      <w:r w:rsidRPr="00376295">
        <w:t xml:space="preserve">pracownikiem stanowi wyłączny tytuł ubezpieczenia, który pochłania dodatkowy stosunek cywilnoprawny. Osoba wykonująca pracę na rzecz swego pracodawcy na podstawie umów cywilnych podlega obowiązkowo ubezpieczeniu społecznemu jako pracownik i na tym kwestia jej ubezpieczenia się wyczerpuje. Z tych tytułów nie powstaje obowiązek ubezpieczenia społecznego, a także problem zbiegu ubezpieczeń regulowanego w art. 9 </w:t>
      </w:r>
      <w:proofErr w:type="spellStart"/>
      <w:r w:rsidRPr="00376295">
        <w:t>u.s.u.s</w:t>
      </w:r>
      <w:proofErr w:type="spellEnd"/>
      <w:r w:rsidRPr="00376295">
        <w:t xml:space="preserve">. W teorii nazywane jest to rozszerzeniem definicji pracownika, konstrukcją abstrahującą od użytej w art. 2 </w:t>
      </w:r>
      <w:proofErr w:type="spellStart"/>
      <w:r w:rsidRPr="00376295">
        <w:t>k.p</w:t>
      </w:r>
      <w:proofErr w:type="spellEnd"/>
      <w:r w:rsidRPr="00376295">
        <w:t xml:space="preserve">. oraz definicji pracodawcy sformułowanej w art 3 </w:t>
      </w:r>
      <w:proofErr w:type="spellStart"/>
      <w:r w:rsidRPr="00376295">
        <w:t>k.p</w:t>
      </w:r>
      <w:proofErr w:type="spellEnd"/>
      <w:r w:rsidRPr="00376295">
        <w:t>. Uznaje się, że w tym przepisie pojęcie pracownika jest rozszerzone na jego dalszą aktywność w ramach umowy cywilnoprawnej, jeżeli w jej ramach świadczy pracę na rzecz swojego pracodawcy. Także więc w zakresie tej sfery aktywności uznawany jest - na potrzeby ubezpieczeń społecznych - za pracownika tego właśnie pracodawcy i pracodawca jest płatnikiem składek z tego tytułu.</w:t>
      </w:r>
    </w:p>
    <w:p w:rsidR="00376295" w:rsidRPr="00376295" w:rsidRDefault="00376295" w:rsidP="00376295">
      <w:pPr>
        <w:pStyle w:val="NormalnyWeb"/>
        <w:spacing w:before="120" w:after="150"/>
        <w:jc w:val="both"/>
      </w:pPr>
      <w:r w:rsidRPr="00376295">
        <w:t>Także wtedy, gdy umowa z lekarzem nie została zawarta bezpośrednio przez stronę umowy z Narodowym Funduszem Zdrowia, lecz przez podwykonawcę, czyniąc lekarza "</w:t>
      </w:r>
      <w:proofErr w:type="spellStart"/>
      <w:r w:rsidRPr="00376295">
        <w:t>subpodwykonawcą</w:t>
      </w:r>
      <w:proofErr w:type="spellEnd"/>
      <w:r w:rsidRPr="00376295">
        <w:t>", zakaz przewidziany w art. 132 ust. 3 ustawy z 2004 r. o świadczeniach opieki zdrowotnej finansowanych ze środków publicznych dotyczy także osób, które zawarły taką umowę z podwykonawcą.</w:t>
      </w:r>
    </w:p>
    <w:p w:rsidR="00376295" w:rsidRPr="00370F27" w:rsidRDefault="00376295" w:rsidP="00376295">
      <w:pPr>
        <w:pStyle w:val="NormalnyWeb"/>
        <w:spacing w:before="120" w:beforeAutospacing="0" w:after="150" w:afterAutospacing="0" w:line="276" w:lineRule="auto"/>
        <w:jc w:val="both"/>
        <w:rPr>
          <w:b/>
          <w:color w:val="FF0000"/>
        </w:rPr>
      </w:pPr>
      <w:r w:rsidRPr="00376295">
        <w:t>Stwierdzenie, że do "</w:t>
      </w:r>
      <w:proofErr w:type="spellStart"/>
      <w:r w:rsidRPr="00376295">
        <w:t>subpodwykonawcy</w:t>
      </w:r>
      <w:proofErr w:type="spellEnd"/>
      <w:r w:rsidRPr="00376295">
        <w:t>" nie stosuje się wskazanego ograniczenia, jest równoznaczne ze stwierdzeniem, iż nie stosuje się względem takiej osoby również samego upoważnienia, a zatem rezultat jest ten sam, nie jest możliwe zawarcie umowy, o której mowa w ustawie o świadczeniach opieki zdrowotnej finansowanych ze środków publicznych.</w:t>
      </w:r>
    </w:p>
    <w:p w:rsidR="00842AEC" w:rsidRDefault="00842AEC" w:rsidP="00842AEC">
      <w:pPr>
        <w:spacing w:before="75"/>
        <w:jc w:val="both"/>
        <w:rPr>
          <w:color w:val="FF2600"/>
        </w:rPr>
      </w:pPr>
      <w:r>
        <w:rPr>
          <w:b/>
          <w:bCs/>
          <w:color w:val="FF2600"/>
        </w:rPr>
        <w:t>Najważniejsze fragmenty uzasadnienia wyroku </w:t>
      </w:r>
    </w:p>
    <w:p w:rsidR="00E309DE" w:rsidRPr="004D0C7B" w:rsidRDefault="00E309DE" w:rsidP="009E0A7D">
      <w:pPr>
        <w:pStyle w:val="NormalnyWeb"/>
        <w:spacing w:before="120" w:beforeAutospacing="0" w:after="150" w:afterAutospacing="0" w:line="276" w:lineRule="auto"/>
        <w:ind w:firstLine="708"/>
        <w:jc w:val="both"/>
      </w:pPr>
      <w:r w:rsidRPr="004D0C7B">
        <w:t xml:space="preserve">Nowością jest uzupełnienie stanów faktycznych podległych regulacji art. 8 ust. 2a ustawy systemowej o takie, w których pracownik zawiera umowę cywilną z podmiotem powiązanym z pracodawcą w ten sposób, że w jej ramach wykonuje pracę na rzecz pracodawcy, z którym pozostaje w stosunku pracy (art. 8 ust. 2a in fine). Interpretowanie </w:t>
      </w:r>
      <w:proofErr w:type="spellStart"/>
      <w:r w:rsidRPr="004D0C7B">
        <w:t>rationis</w:t>
      </w:r>
      <w:proofErr w:type="spellEnd"/>
      <w:r w:rsidRPr="004D0C7B">
        <w:t xml:space="preserve"> legis tej regulacji jako przeciwdziałanie nieuczciwym praktykom i doszukiwanie się zamiaru unikania świadczeń na fundusze ubezpieczeń społecznych jest uzasadnione, jednak zobiektywizowana treść tego przepisu wyraźnie się od nich odrywa. Przy stosowaniu tego przepisu nie ma znaczenia zamiar obejścia prawa przez pracodawcę (płatnika), pracownika lub stronę umowy cywilnej, trzecią dla tego stosunku, lecz istotne jest zaistnienie zdarzeń opisanych w hipotezie, zgodnie z którą pracodawca, na którego rzecz pracownik wykonuje pracę na podstawie umowy zawartej z podmiotem trzecim, pozostaje z tym pracownikiem w stosunku prawnym uzasadniającym objęcie tego pracownika ubezpieczeniami społecznymi na podstawie art. 8 ust. 2a ustawy. Tak też definicja ustalona w art. 4 pkt 2 lit. a ustawy określa </w:t>
      </w:r>
      <w:r w:rsidRPr="004D0C7B">
        <w:lastRenderedPageBreak/>
        <w:t>płatnika składek jako pracodawcę w stosunku do pracowników oraz jako jednostkę organizacyjną lub osobę fizyczną pozostającą z inną osobą w stosunku prawnym uzasadniającym objęcie tej osoby ubezpieczeniami społecznymi. To właśnie powiązanie ze względu na wykonywanie przez jego pracownika cudzej umowy cywilnej czyni go płatnikiem składek w sposób określony w art. 18 ust. 1a tej ustawy.</w:t>
      </w:r>
    </w:p>
    <w:p w:rsidR="00026EF9" w:rsidRPr="004D0C7B" w:rsidRDefault="00E309DE" w:rsidP="00946E62">
      <w:pPr>
        <w:pStyle w:val="NormalnyWeb"/>
        <w:spacing w:before="120" w:beforeAutospacing="0" w:after="150" w:afterAutospacing="0" w:line="276" w:lineRule="auto"/>
        <w:ind w:firstLine="708"/>
        <w:jc w:val="both"/>
      </w:pPr>
      <w:r w:rsidRPr="004D0C7B">
        <w:t xml:space="preserve">Dodatkowa umowa cywilnoprawna nie ma znaczenia z punktu widzenia stosunku ubezpieczenia i objęcia ubezpieczeniami społecznymi. Ze względu na posłużenie się w art. 8 ust. 2a ustawy szerokim pojęciem "pracownik", stosunek pracy łączący pracodawcę z pracownikiem stanowi wyłączny tytuł ubezpieczenia, który pochłania dodatkowy stosunek cywilnoprawny. Osoba wykonująca pracę na rzecz swego pracodawcy na podstawie umów cywilnych podlega obowiązkowo ubezpieczeniu społecznemu jako pracownik i na tym kwestia jej ubezpieczenia się wyczerpuje </w:t>
      </w:r>
      <w:r w:rsidR="00026EF9" w:rsidRPr="004D0C7B">
        <w:t>(…)</w:t>
      </w:r>
      <w:r w:rsidR="00946E62">
        <w:t>.</w:t>
      </w:r>
    </w:p>
    <w:p w:rsidR="00026EF9" w:rsidRPr="004D0C7B" w:rsidRDefault="00E309DE" w:rsidP="00483537">
      <w:pPr>
        <w:pStyle w:val="NormalnyWeb"/>
        <w:spacing w:before="120" w:beforeAutospacing="0" w:after="150" w:afterAutospacing="0" w:line="276" w:lineRule="auto"/>
        <w:ind w:firstLine="708"/>
        <w:jc w:val="both"/>
      </w:pPr>
      <w:r w:rsidRPr="004D0C7B">
        <w:t xml:space="preserve">Umową zawartą z osobą trzecią, na </w:t>
      </w:r>
      <w:proofErr w:type="gramStart"/>
      <w:r w:rsidRPr="004D0C7B">
        <w:t>podstawie</w:t>
      </w:r>
      <w:proofErr w:type="gramEnd"/>
      <w:r w:rsidRPr="004D0C7B">
        <w:t xml:space="preserve"> której pracownik wykonuje pracę na rzecz swojego pracodawcy określony w art. 8 ust. 2a ustawy systemowej, jest umowa agencyjna, umowa zlecenia lub inna umowa o świadczenie usług, do której stosuje się przepisy dotyczące zlecenia, a więc taka, o której mowa w </w:t>
      </w:r>
      <w:hyperlink r:id="rId5" w:anchor="/document/16785996?unitId=art(750)&amp;cm=DOCUMENT" w:history="1">
        <w:r w:rsidRPr="004D0C7B">
          <w:rPr>
            <w:rStyle w:val="Hipercze"/>
            <w:color w:val="auto"/>
            <w:u w:val="none"/>
          </w:rPr>
          <w:t>art. 750</w:t>
        </w:r>
      </w:hyperlink>
      <w:r w:rsidRPr="004D0C7B">
        <w:t xml:space="preserve"> k.c.</w:t>
      </w:r>
      <w:r w:rsidR="00483537">
        <w:t xml:space="preserve"> </w:t>
      </w:r>
      <w:r w:rsidR="00026EF9" w:rsidRPr="004D0C7B">
        <w:t>(…)</w:t>
      </w:r>
      <w:r w:rsidR="00483537">
        <w:t>.</w:t>
      </w:r>
    </w:p>
    <w:p w:rsidR="00026EF9" w:rsidRPr="004D0C7B" w:rsidRDefault="00E309DE" w:rsidP="00F21395">
      <w:pPr>
        <w:pStyle w:val="NormalnyWeb"/>
        <w:spacing w:before="120" w:beforeAutospacing="0" w:after="150" w:afterAutospacing="0" w:line="276" w:lineRule="auto"/>
        <w:ind w:firstLine="708"/>
        <w:jc w:val="both"/>
      </w:pPr>
      <w:r w:rsidRPr="004D0C7B">
        <w:t>Rozważany jest w literaturze pogląd, że zakresem zastosowania art. 8 ust. 2a ustawy nie są objęte osoby prowadzące pozarolniczą działalność, wymienione w art. 6 ust. 1 pkt 5 tej ustawy, z podkreśleniem, że samozatrudnienie polegające na wykonywaniu usług na rzecz pracodawcy przez pracowników równocześnie prowadzących działalność gospodarczą lub wykonujących wolny zawód, powinno być przy stosowaniu art. 8 ust. 2a ustawy kwalifikowane jako prowadzenie pozarolniczej działalności stanowiącym osobny tytuł ubezpieczenia</w:t>
      </w:r>
      <w:r w:rsidR="00F21395">
        <w:t xml:space="preserve"> </w:t>
      </w:r>
      <w:r w:rsidR="00026EF9" w:rsidRPr="004D0C7B">
        <w:t>(…)</w:t>
      </w:r>
      <w:r w:rsidR="00F21395">
        <w:t>.</w:t>
      </w:r>
    </w:p>
    <w:p w:rsidR="00E309DE" w:rsidRPr="004D0C7B" w:rsidRDefault="00E309DE" w:rsidP="00654F06">
      <w:pPr>
        <w:pStyle w:val="NormalnyWeb"/>
        <w:spacing w:before="120" w:beforeAutospacing="0" w:after="150" w:afterAutospacing="0" w:line="276" w:lineRule="auto"/>
        <w:ind w:firstLine="708"/>
        <w:jc w:val="both"/>
      </w:pPr>
      <w:r w:rsidRPr="004D0C7B">
        <w:t xml:space="preserve">Wykonywanie zawodu lekarze może mieć status przedsiębiorcy (prowadzącego działalność gospodarczą lub zawodową) albo zatrudnionego; kategorie te są rozłączne. Zważywszy jednak, że Sąd Najwyższy rozpoznaje skargę kasacyjną w jej granicach i związany jest ustaleniami faktycznymi sądów </w:t>
      </w:r>
      <w:proofErr w:type="spellStart"/>
      <w:r w:rsidRPr="004D0C7B">
        <w:t>meriti</w:t>
      </w:r>
      <w:proofErr w:type="spellEnd"/>
      <w:r w:rsidRPr="004D0C7B">
        <w:t>, zwłaszcza że skarżący nie podważył ich zarzutem naruszenia przepisów postępowania, można tylko stwierdzić, iż w umowach łączących P. z Niepublicznym Zakładem Opieki Zdrowotnej S. występował on jako osoba fizyczna - lekarz zobowiązujący się do wykonywania świadczeń zdrowotnych.</w:t>
      </w:r>
    </w:p>
    <w:p w:rsidR="00E309DE" w:rsidRPr="004D0C7B" w:rsidRDefault="00E309DE" w:rsidP="00DF4E43">
      <w:pPr>
        <w:pStyle w:val="NormalnyWeb"/>
        <w:spacing w:before="120" w:beforeAutospacing="0" w:after="150" w:afterAutospacing="0" w:line="276" w:lineRule="auto"/>
        <w:ind w:firstLine="708"/>
        <w:jc w:val="both"/>
      </w:pPr>
      <w:r w:rsidRPr="004D0C7B">
        <w:t xml:space="preserve">Umowa ta nie może być - jak sugeruje skarżący - interpretowana według jej nazwy, jako umowa o udzielanie świadczeń zdrowotnych, a w związku z tym umowa nazwana, do której przepisy o zleceniu nie mają zastosowania (por. wyrok Sądu Najwyższego z dnia 10 grudnia 2004 r., </w:t>
      </w:r>
      <w:hyperlink r:id="rId6" w:anchor="/document/520242809?cm=DOCUMENT" w:history="1">
        <w:r w:rsidRPr="004D0C7B">
          <w:rPr>
            <w:rStyle w:val="Hipercze"/>
            <w:color w:val="auto"/>
            <w:u w:val="none"/>
          </w:rPr>
          <w:t>III CK 134/04</w:t>
        </w:r>
      </w:hyperlink>
      <w:r w:rsidRPr="004D0C7B">
        <w:t xml:space="preserve"> z glosą J. Jończyka, OSP 2005 Nr 6, poz. 79). Oznaczałoby to zarazem, że nie ma do niej zastosowania art. 8 ust. 2a ustawy systemowej, gdyż takiej umowy nie </w:t>
      </w:r>
      <w:proofErr w:type="spellStart"/>
      <w:r w:rsidRPr="004D0C7B">
        <w:t>wymiania</w:t>
      </w:r>
      <w:proofErr w:type="spellEnd"/>
      <w:r w:rsidRPr="004D0C7B">
        <w:t xml:space="preserve"> się w tym przepisie. Należy jednak zważyć, że umowa o udzielenie zamówienia na świadczenia zdrowotne jest umową kwalifikowaną podmiotowo i wyróżnioną pod względem treści i sposobu zawarcia. Zgodnie z </w:t>
      </w:r>
      <w:hyperlink r:id="rId7" w:anchor="/document/17127716?unitId=art(132)ust(1)&amp;cm=DOCUMENT" w:history="1">
        <w:r w:rsidRPr="004D0C7B">
          <w:rPr>
            <w:rStyle w:val="Hipercze"/>
            <w:color w:val="auto"/>
            <w:u w:val="none"/>
          </w:rPr>
          <w:t>art. 132 ust. 1</w:t>
        </w:r>
      </w:hyperlink>
      <w:r w:rsidRPr="004D0C7B">
        <w:t xml:space="preserve"> ustawy z dnia 27 sierpnia 2004 r. o świadczeniach opieki zdrowotnej finansowanych ze środków publicznych (tekst jedn.: Dz. U. z 2016 r. poz. 1793 z </w:t>
      </w:r>
      <w:proofErr w:type="spellStart"/>
      <w:r w:rsidRPr="004D0C7B">
        <w:t>późn</w:t>
      </w:r>
      <w:proofErr w:type="spellEnd"/>
      <w:r w:rsidRPr="004D0C7B">
        <w:t xml:space="preserve">. zm.) umowy tak nazwane zawierane są tylko z Narodowym Funduszem Zdrowia. Co więcej, w art. 132 ust. 3 tej ustawy stwierdzono, że nie można zawrzeć umowy o udzielanie świadczeń opieki zdrowotnej z lekarzem, pielęgniarką, położną, inną </w:t>
      </w:r>
      <w:r w:rsidRPr="004D0C7B">
        <w:lastRenderedPageBreak/>
        <w:t>osobą wykonującą zawód medyczny lub psychologiem, jeżeli udzielają oni świadczeń opieki zdrowotnej u świadczeniodawcy, który zawarł umowę o udzielanie świadczeń opieki zdrowotnej z Narodowym Funduszem Zdrowia.</w:t>
      </w:r>
    </w:p>
    <w:p w:rsidR="00E309DE" w:rsidRPr="004D0C7B" w:rsidRDefault="00E309DE" w:rsidP="00E60867">
      <w:pPr>
        <w:pStyle w:val="NormalnyWeb"/>
        <w:spacing w:before="120" w:beforeAutospacing="0" w:after="150" w:afterAutospacing="0" w:line="276" w:lineRule="auto"/>
        <w:ind w:firstLine="708"/>
        <w:jc w:val="both"/>
      </w:pPr>
      <w:r w:rsidRPr="004D0C7B">
        <w:t xml:space="preserve">Problematyka zawierania przez świadczeniodawców umów podwykonawstwa w ramach umów o udzielanie świadczeń opieki zdrowotnej była przedmiotem rozważań Sądu Najwyższego. </w:t>
      </w:r>
      <w:r w:rsidR="00026EF9" w:rsidRPr="004D0C7B">
        <w:t xml:space="preserve">Sąd Najwyższy uznał, że (…) </w:t>
      </w:r>
      <w:r w:rsidRPr="004D0C7B">
        <w:t xml:space="preserve">podwykonawstwo w warunkach określonych w art. 132 ust. 3 ustawy o świadczeniach opieki zdrowotnej finansowanych ze środków publicznych nie jest możliwe i podważa koncepcję wyłączenia przychodów za wykonywanie takich zobowiązań spod reżimu prawa ubezpieczeń społecznych </w:t>
      </w:r>
    </w:p>
    <w:p w:rsidR="00E309DE" w:rsidRPr="004D0C7B" w:rsidRDefault="00026EF9" w:rsidP="00CA40C1">
      <w:pPr>
        <w:pStyle w:val="NormalnyWeb"/>
        <w:spacing w:before="120" w:beforeAutospacing="0" w:after="150" w:afterAutospacing="0" w:line="276" w:lineRule="auto"/>
        <w:ind w:firstLine="708"/>
        <w:jc w:val="both"/>
      </w:pPr>
      <w:r w:rsidRPr="004D0C7B">
        <w:t xml:space="preserve">(…) </w:t>
      </w:r>
      <w:r w:rsidR="00E309DE" w:rsidRPr="004D0C7B">
        <w:t>także wtedy, gdy umowa z lekarzem nie została zawarta bezpośrednio przez stronę umowy z Narodowym Funduszem Zdrowia, lecz przez podwykonawcę, czyniąc lekarza "</w:t>
      </w:r>
      <w:proofErr w:type="spellStart"/>
      <w:r w:rsidR="00E309DE" w:rsidRPr="004D0C7B">
        <w:t>subpodwykonawcą</w:t>
      </w:r>
      <w:proofErr w:type="spellEnd"/>
      <w:r w:rsidR="00E309DE" w:rsidRPr="004D0C7B">
        <w:t>", zakaz przewidziany w art. 132 ust. 3 o świadczeniach opieki zdrowotnej finansowanych ze środków publicznych dotyczy także osób, które zawarły taką umowę z podwykonawcą. Rozważania obejmujące analizę celowościową lub nawet względy słuszności takiego przypadku nie są konieczne, ponieważ satysfakcjonujące i jednoznaczne rezultaty przynosi wykładnia językowo-logiczna oraz systemowa. Możliwość zlecania podwykonawcom udzielania świadczeń opieki zdrowotnej w ramach umowy o udzielanie świadczeń opieki zdrowotnej zawartej z Narodowym Funduszem Zdrowia wynika z art. 133 ustawy o świadczeniach opieki zdrowotnej finansowanych ze środków publicznych, który w drugim zdaniu zastrzega stosowanie do tego upoważnienia ograniczenia podmiotowego zawartego w art. 132 ust. 3 tej ustawy. Stwierdzenie, że do "</w:t>
      </w:r>
      <w:proofErr w:type="spellStart"/>
      <w:r w:rsidR="00E309DE" w:rsidRPr="004D0C7B">
        <w:t>subpodwykonawcy</w:t>
      </w:r>
      <w:proofErr w:type="spellEnd"/>
      <w:r w:rsidR="00E309DE" w:rsidRPr="004D0C7B">
        <w:t>" nie stosuje się wskazanego ograniczenia, jest równoznaczne ze stwierdzeniem, iż nie stosuje się względem takiej osoby również samego upoważnienia, a zatem rezultat jest ten sam, nie jest możliwe zawarcie umowy, o której mowa w ustawie o świadczeniach opieki zdrowotnej finansowanych ze środków publicznych.</w:t>
      </w:r>
    </w:p>
    <w:p w:rsidR="00C25D3F" w:rsidRPr="004D0C7B" w:rsidRDefault="00DE2C6D" w:rsidP="004D0C7B">
      <w:pPr>
        <w:spacing w:before="25" w:after="0"/>
        <w:jc w:val="both"/>
        <w:rPr>
          <w:szCs w:val="24"/>
        </w:rPr>
      </w:pPr>
      <w:r w:rsidRPr="004D0C7B">
        <w:rPr>
          <w:szCs w:val="24"/>
        </w:rPr>
        <w:t>Wyroki powiązane</w:t>
      </w:r>
      <w:r w:rsidR="00FC2158">
        <w:rPr>
          <w:szCs w:val="24"/>
        </w:rPr>
        <w:t>:</w:t>
      </w:r>
    </w:p>
    <w:p w:rsidR="00DE2C6D" w:rsidRPr="00FC2158" w:rsidRDefault="00DE2C6D" w:rsidP="00B658CF">
      <w:pPr>
        <w:pStyle w:val="Akapitzlist"/>
        <w:numPr>
          <w:ilvl w:val="0"/>
          <w:numId w:val="8"/>
        </w:numPr>
        <w:spacing w:before="25" w:after="0"/>
        <w:jc w:val="both"/>
        <w:rPr>
          <w:szCs w:val="24"/>
        </w:rPr>
      </w:pPr>
      <w:r w:rsidRPr="00FC2158">
        <w:rPr>
          <w:szCs w:val="24"/>
        </w:rPr>
        <w:t>Postanowienie Sądu Najwyższego z dnia 22 czerwca 2015 r. sygn. akt I UZ 3/15</w:t>
      </w:r>
    </w:p>
    <w:p w:rsidR="00DE2C6D" w:rsidRPr="00FC2158" w:rsidRDefault="00DE2C6D" w:rsidP="00B658CF">
      <w:pPr>
        <w:pStyle w:val="Akapitzlist"/>
        <w:numPr>
          <w:ilvl w:val="0"/>
          <w:numId w:val="8"/>
        </w:numPr>
        <w:spacing w:before="25" w:after="0"/>
        <w:jc w:val="both"/>
        <w:rPr>
          <w:szCs w:val="24"/>
        </w:rPr>
      </w:pPr>
      <w:r w:rsidRPr="00FC2158">
        <w:rPr>
          <w:szCs w:val="24"/>
        </w:rPr>
        <w:t>Wyrok Sadu Najwyższego z 3 kwietnia 2014 r. sygn. akt II UK 399/13</w:t>
      </w:r>
    </w:p>
    <w:p w:rsidR="00DE2C6D" w:rsidRPr="00FC2158" w:rsidRDefault="00DE2C6D" w:rsidP="00B658CF">
      <w:pPr>
        <w:pStyle w:val="Akapitzlist"/>
        <w:numPr>
          <w:ilvl w:val="0"/>
          <w:numId w:val="8"/>
        </w:numPr>
        <w:spacing w:before="25" w:after="0"/>
        <w:jc w:val="both"/>
        <w:rPr>
          <w:szCs w:val="24"/>
        </w:rPr>
      </w:pPr>
      <w:r w:rsidRPr="00FC2158">
        <w:rPr>
          <w:szCs w:val="24"/>
        </w:rPr>
        <w:t>Wyrok Sadu Najwyższego z 18 marca 2014 r., sygn. akt II UK 449/13</w:t>
      </w:r>
    </w:p>
    <w:p w:rsidR="00DE2C6D" w:rsidRPr="00FC2158" w:rsidRDefault="00DE2C6D" w:rsidP="00B658CF">
      <w:pPr>
        <w:pStyle w:val="Akapitzlist"/>
        <w:numPr>
          <w:ilvl w:val="0"/>
          <w:numId w:val="8"/>
        </w:numPr>
        <w:spacing w:before="25" w:after="0"/>
        <w:jc w:val="both"/>
        <w:rPr>
          <w:szCs w:val="24"/>
        </w:rPr>
      </w:pPr>
      <w:r w:rsidRPr="00FC2158">
        <w:rPr>
          <w:szCs w:val="24"/>
        </w:rPr>
        <w:t>Wyrok Sądu Najwyższego z 6 lutego 2014 r., sygn. akt II UK 279/13</w:t>
      </w:r>
    </w:p>
    <w:p w:rsidR="00DE2C6D" w:rsidRPr="00FC2158" w:rsidRDefault="00DE2C6D" w:rsidP="00B658CF">
      <w:pPr>
        <w:pStyle w:val="Akapitzlist"/>
        <w:numPr>
          <w:ilvl w:val="0"/>
          <w:numId w:val="8"/>
        </w:numPr>
        <w:spacing w:before="25" w:after="0"/>
        <w:jc w:val="both"/>
        <w:rPr>
          <w:szCs w:val="24"/>
        </w:rPr>
      </w:pPr>
      <w:r w:rsidRPr="00FC2158">
        <w:rPr>
          <w:szCs w:val="24"/>
        </w:rPr>
        <w:t xml:space="preserve">Wyrok Sądu Apelacyjnego w Katowicach z 5 lipca 2018 r., sygn. akt III </w:t>
      </w:r>
      <w:proofErr w:type="spellStart"/>
      <w:r w:rsidRPr="00FC2158">
        <w:rPr>
          <w:szCs w:val="24"/>
        </w:rPr>
        <w:t>AUa</w:t>
      </w:r>
      <w:proofErr w:type="spellEnd"/>
      <w:r w:rsidRPr="00FC2158">
        <w:rPr>
          <w:szCs w:val="24"/>
        </w:rPr>
        <w:t xml:space="preserve"> 14447/17 </w:t>
      </w:r>
    </w:p>
    <w:p w:rsidR="00DE2C6D" w:rsidRPr="00FC2158" w:rsidRDefault="00DE2C6D" w:rsidP="00B658CF">
      <w:pPr>
        <w:pStyle w:val="Akapitzlist"/>
        <w:numPr>
          <w:ilvl w:val="0"/>
          <w:numId w:val="8"/>
        </w:numPr>
        <w:spacing w:before="25" w:after="0"/>
        <w:jc w:val="both"/>
        <w:rPr>
          <w:szCs w:val="24"/>
        </w:rPr>
      </w:pPr>
      <w:r w:rsidRPr="00FC2158">
        <w:rPr>
          <w:szCs w:val="24"/>
        </w:rPr>
        <w:t xml:space="preserve">Wyrok Sądu Apelacyjnego w Szczecinie z 22 marca 2018 r., sygn. akt III </w:t>
      </w:r>
      <w:proofErr w:type="spellStart"/>
      <w:r w:rsidRPr="00FC2158">
        <w:rPr>
          <w:szCs w:val="24"/>
        </w:rPr>
        <w:t>AUa</w:t>
      </w:r>
      <w:proofErr w:type="spellEnd"/>
      <w:r w:rsidRPr="00FC2158">
        <w:rPr>
          <w:szCs w:val="24"/>
        </w:rPr>
        <w:t xml:space="preserve"> 574/17</w:t>
      </w:r>
    </w:p>
    <w:p w:rsidR="00DE2C6D" w:rsidRPr="004D0C7B" w:rsidRDefault="00DE2C6D" w:rsidP="004D0C7B">
      <w:pPr>
        <w:spacing w:before="25" w:after="0"/>
        <w:jc w:val="both"/>
        <w:rPr>
          <w:szCs w:val="24"/>
        </w:rPr>
      </w:pPr>
    </w:p>
    <w:p w:rsidR="00DE2C6D" w:rsidRDefault="00B658CF" w:rsidP="00B658CF">
      <w:pPr>
        <w:jc w:val="both"/>
        <w:rPr>
          <w:color w:val="FF2600"/>
        </w:rPr>
      </w:pPr>
      <w:r>
        <w:rPr>
          <w:b/>
          <w:bCs/>
          <w:color w:val="FF2600"/>
        </w:rPr>
        <w:t>Kluczowe przepisy</w:t>
      </w:r>
    </w:p>
    <w:p w:rsidR="00E14082" w:rsidRPr="00E14082" w:rsidRDefault="00E14082" w:rsidP="00E14082">
      <w:pPr>
        <w:jc w:val="both"/>
        <w:rPr>
          <w:b/>
        </w:rPr>
      </w:pPr>
      <w:r w:rsidRPr="00E14082">
        <w:rPr>
          <w:b/>
        </w:rPr>
        <w:t>Ustawa o systemie ubezpieczeń społecznych</w:t>
      </w:r>
      <w:r>
        <w:rPr>
          <w:b/>
        </w:rPr>
        <w:t xml:space="preserve"> (</w:t>
      </w:r>
      <w:r w:rsidRPr="00E14082">
        <w:rPr>
          <w:b/>
        </w:rPr>
        <w:t>Dz.U. z 2019 r. poz. 300</w:t>
      </w:r>
      <w:r>
        <w:rPr>
          <w:b/>
        </w:rPr>
        <w:t xml:space="preserve"> ze zm.)</w:t>
      </w:r>
    </w:p>
    <w:p w:rsidR="00026EF9" w:rsidRPr="004D0C7B" w:rsidRDefault="00026EF9" w:rsidP="004D0C7B">
      <w:pPr>
        <w:spacing w:before="25" w:after="0"/>
        <w:jc w:val="both"/>
        <w:rPr>
          <w:b/>
          <w:szCs w:val="24"/>
        </w:rPr>
      </w:pPr>
      <w:r w:rsidRPr="004D0C7B">
        <w:rPr>
          <w:b/>
          <w:bCs/>
          <w:szCs w:val="24"/>
        </w:rPr>
        <w:t>Art. 4</w:t>
      </w:r>
      <w:r w:rsidR="00F5189C">
        <w:rPr>
          <w:b/>
          <w:bCs/>
          <w:szCs w:val="24"/>
        </w:rPr>
        <w:t xml:space="preserve"> pkt 2 lit. a</w:t>
      </w:r>
    </w:p>
    <w:p w:rsidR="00026EF9" w:rsidRPr="004D0C7B" w:rsidRDefault="00026EF9" w:rsidP="004D0C7B">
      <w:pPr>
        <w:spacing w:before="120" w:after="150"/>
        <w:jc w:val="both"/>
        <w:rPr>
          <w:szCs w:val="24"/>
        </w:rPr>
      </w:pPr>
      <w:r w:rsidRPr="004D0C7B">
        <w:rPr>
          <w:szCs w:val="24"/>
        </w:rPr>
        <w:t>Użyte w ustawie określenia oznaczają:</w:t>
      </w:r>
    </w:p>
    <w:p w:rsidR="00026EF9" w:rsidRPr="004D0C7B" w:rsidRDefault="00026EF9" w:rsidP="005C1DB7">
      <w:pPr>
        <w:spacing w:after="0"/>
        <w:ind w:left="708"/>
        <w:jc w:val="both"/>
        <w:rPr>
          <w:szCs w:val="24"/>
        </w:rPr>
      </w:pPr>
      <w:r w:rsidRPr="004D0C7B">
        <w:rPr>
          <w:szCs w:val="24"/>
        </w:rPr>
        <w:t>2) płatnik składek:</w:t>
      </w:r>
    </w:p>
    <w:p w:rsidR="00026EF9" w:rsidRPr="004D0C7B" w:rsidRDefault="00026EF9" w:rsidP="005C1DB7">
      <w:pPr>
        <w:spacing w:after="72"/>
        <w:ind w:left="708"/>
        <w:jc w:val="both"/>
        <w:rPr>
          <w:szCs w:val="24"/>
        </w:rPr>
      </w:pPr>
      <w:r w:rsidRPr="004D0C7B">
        <w:rPr>
          <w:szCs w:val="24"/>
        </w:rPr>
        <w:t xml:space="preserve">a) pracodawca - w stosunku do pracowników i osób odbywających służbę zastępczą oraz jednostka organizacyjna lub osoba fizyczna pozostająca z inną osobą fizyczną w </w:t>
      </w:r>
      <w:r w:rsidRPr="004D0C7B">
        <w:rPr>
          <w:szCs w:val="24"/>
        </w:rPr>
        <w:lastRenderedPageBreak/>
        <w:t>stosunku prawnym uzasadniającym objęcie tej osoby ubezpieczeniami społecznymi, w tym z tytułu przebywania na urlopie wychowawczym albo pobierania zasiłku macierzyńskiego, z wyłączeniem osób, którym zasiłek macierzyński wypłaca Zakład,</w:t>
      </w:r>
    </w:p>
    <w:p w:rsidR="00026EF9" w:rsidRPr="004D0C7B" w:rsidRDefault="00026EF9" w:rsidP="004D0C7B">
      <w:pPr>
        <w:spacing w:before="25" w:after="0"/>
        <w:jc w:val="both"/>
        <w:rPr>
          <w:b/>
          <w:szCs w:val="24"/>
        </w:rPr>
      </w:pPr>
    </w:p>
    <w:p w:rsidR="00E309DE" w:rsidRPr="004D0C7B" w:rsidRDefault="00E309DE" w:rsidP="004D0C7B">
      <w:pPr>
        <w:spacing w:before="25" w:after="0"/>
        <w:jc w:val="both"/>
        <w:rPr>
          <w:b/>
          <w:szCs w:val="24"/>
        </w:rPr>
      </w:pPr>
      <w:r w:rsidRPr="004D0C7B">
        <w:rPr>
          <w:b/>
          <w:szCs w:val="24"/>
        </w:rPr>
        <w:t xml:space="preserve">Art. 8 </w:t>
      </w:r>
      <w:r w:rsidR="00B43203">
        <w:rPr>
          <w:b/>
          <w:szCs w:val="24"/>
        </w:rPr>
        <w:t>ust. 2a</w:t>
      </w:r>
    </w:p>
    <w:p w:rsidR="00E309DE" w:rsidRPr="004D0C7B" w:rsidRDefault="00E309DE" w:rsidP="004D0C7B">
      <w:pPr>
        <w:spacing w:before="25" w:after="0"/>
        <w:jc w:val="both"/>
        <w:rPr>
          <w:szCs w:val="24"/>
        </w:rPr>
      </w:pPr>
    </w:p>
    <w:p w:rsidR="00E309DE" w:rsidRPr="004D0C7B" w:rsidRDefault="00B43203" w:rsidP="004D0C7B">
      <w:pPr>
        <w:spacing w:before="25" w:after="0"/>
        <w:jc w:val="both"/>
        <w:rPr>
          <w:szCs w:val="24"/>
        </w:rPr>
      </w:pPr>
      <w:r>
        <w:rPr>
          <w:szCs w:val="24"/>
        </w:rPr>
        <w:t>Z</w:t>
      </w:r>
      <w:r w:rsidR="00E309DE" w:rsidRPr="004D0C7B">
        <w:rPr>
          <w:szCs w:val="24"/>
        </w:rPr>
        <w:t xml:space="preserve">a pracownika, w rozumieniu ustawy, uważa się także osobę wykonującą pracę na podstawie umowy agencyjnej, umowy zlecenia lub innej umowy o świadczenie usług, do której zgodnie z </w:t>
      </w:r>
      <w:hyperlink r:id="rId8" w:anchor="/document/16785996?cm=DOCUMENT" w:history="1">
        <w:r w:rsidR="00E309DE" w:rsidRPr="004D0C7B">
          <w:rPr>
            <w:rStyle w:val="Hipercze"/>
            <w:color w:val="auto"/>
            <w:szCs w:val="24"/>
            <w:u w:val="none"/>
          </w:rPr>
          <w:t>Kodeksem cywilnym</w:t>
        </w:r>
      </w:hyperlink>
      <w:r w:rsidR="00E309DE" w:rsidRPr="004D0C7B">
        <w:rPr>
          <w:szCs w:val="24"/>
        </w:rPr>
        <w:t xml:space="preserve"> stosuje się przepisy dotyczące zlecenia, albo umowy o dzieło, jeżeli umowę taką zawarła z pracodawcą, z którym pozostaje w stosunku pracy, lub jeżeli w ramach takiej umowy wykonuje pracę na rzecz pracodawcy, z którym pozostaje w stosunku pracy.</w:t>
      </w:r>
    </w:p>
    <w:p w:rsidR="00026EF9" w:rsidRPr="004D0C7B" w:rsidRDefault="00026EF9" w:rsidP="004D0C7B">
      <w:pPr>
        <w:spacing w:before="25" w:after="0"/>
        <w:jc w:val="both"/>
        <w:rPr>
          <w:szCs w:val="24"/>
        </w:rPr>
      </w:pPr>
    </w:p>
    <w:p w:rsidR="00BD662C" w:rsidRDefault="00BD662C" w:rsidP="004D0C7B">
      <w:pPr>
        <w:spacing w:after="0"/>
        <w:jc w:val="both"/>
        <w:rPr>
          <w:b/>
          <w:bCs/>
          <w:szCs w:val="24"/>
        </w:rPr>
      </w:pPr>
    </w:p>
    <w:p w:rsidR="00BD662C" w:rsidRDefault="00BD662C" w:rsidP="00BD662C">
      <w:pPr>
        <w:spacing w:after="0"/>
        <w:jc w:val="both"/>
        <w:rPr>
          <w:b/>
          <w:bCs/>
          <w:szCs w:val="24"/>
        </w:rPr>
      </w:pPr>
      <w:r w:rsidRPr="00BD662C">
        <w:rPr>
          <w:b/>
          <w:bCs/>
          <w:szCs w:val="24"/>
        </w:rPr>
        <w:t>Ustawa o świadczeniach opieki zdrowotnej finansowanych ze środków publicznych</w:t>
      </w:r>
      <w:r w:rsidR="001423AA">
        <w:rPr>
          <w:b/>
          <w:bCs/>
          <w:szCs w:val="24"/>
        </w:rPr>
        <w:t xml:space="preserve"> </w:t>
      </w:r>
      <w:r>
        <w:rPr>
          <w:b/>
          <w:bCs/>
          <w:szCs w:val="24"/>
        </w:rPr>
        <w:t>(</w:t>
      </w:r>
      <w:r w:rsidRPr="00BD662C">
        <w:rPr>
          <w:b/>
          <w:bCs/>
          <w:szCs w:val="24"/>
        </w:rPr>
        <w:t>Dz.U. z 2018 r. poz. 1510</w:t>
      </w:r>
      <w:r>
        <w:rPr>
          <w:b/>
          <w:bCs/>
          <w:szCs w:val="24"/>
        </w:rPr>
        <w:t xml:space="preserve"> ze zm.)</w:t>
      </w:r>
    </w:p>
    <w:p w:rsidR="001423AA" w:rsidRDefault="001423AA" w:rsidP="004D0C7B">
      <w:pPr>
        <w:spacing w:after="0"/>
        <w:jc w:val="both"/>
        <w:rPr>
          <w:b/>
          <w:bCs/>
          <w:szCs w:val="24"/>
        </w:rPr>
      </w:pPr>
    </w:p>
    <w:p w:rsidR="00026EF9" w:rsidRPr="004D0C7B" w:rsidRDefault="00026EF9" w:rsidP="004D0C7B">
      <w:pPr>
        <w:spacing w:after="0"/>
        <w:jc w:val="both"/>
        <w:rPr>
          <w:b/>
          <w:bCs/>
          <w:szCs w:val="24"/>
        </w:rPr>
      </w:pPr>
      <w:r w:rsidRPr="004D0C7B">
        <w:rPr>
          <w:b/>
          <w:bCs/>
          <w:szCs w:val="24"/>
        </w:rPr>
        <w:t xml:space="preserve">Art.  132 </w:t>
      </w:r>
      <w:r w:rsidR="001423AA">
        <w:rPr>
          <w:b/>
          <w:bCs/>
          <w:szCs w:val="24"/>
        </w:rPr>
        <w:t>ust. 1</w:t>
      </w:r>
      <w:r w:rsidR="003B3356">
        <w:rPr>
          <w:b/>
          <w:bCs/>
          <w:szCs w:val="24"/>
        </w:rPr>
        <w:t xml:space="preserve">, </w:t>
      </w:r>
      <w:r w:rsidR="00255157">
        <w:rPr>
          <w:b/>
          <w:bCs/>
          <w:szCs w:val="24"/>
        </w:rPr>
        <w:t>ust. 2</w:t>
      </w:r>
      <w:r w:rsidR="003B3356">
        <w:rPr>
          <w:b/>
          <w:bCs/>
          <w:szCs w:val="24"/>
        </w:rPr>
        <w:t xml:space="preserve"> i ust. 3</w:t>
      </w:r>
    </w:p>
    <w:p w:rsidR="00026EF9" w:rsidRPr="004D0C7B" w:rsidRDefault="00026EF9" w:rsidP="004D0C7B">
      <w:pPr>
        <w:spacing w:after="0"/>
        <w:jc w:val="both"/>
        <w:rPr>
          <w:b/>
          <w:bCs/>
          <w:szCs w:val="24"/>
        </w:rPr>
      </w:pPr>
    </w:p>
    <w:p w:rsidR="00026EF9" w:rsidRPr="004D0C7B" w:rsidRDefault="00026EF9" w:rsidP="004D0C7B">
      <w:pPr>
        <w:spacing w:after="0"/>
        <w:jc w:val="both"/>
        <w:rPr>
          <w:szCs w:val="24"/>
        </w:rPr>
      </w:pPr>
      <w:r w:rsidRPr="004D0C7B">
        <w:rPr>
          <w:szCs w:val="24"/>
        </w:rPr>
        <w:t>Podstawą udzielania świadczeń opieki zdrowotnej finansowanych ze środków publicznych przez Fundusz jest umowa o udzielanie świadczeń opieki zdrowotnej zawarta pomiędzy świadczeniodawcą a Funduszem, z zastrzeżeniem art. 19 ust. 4.</w:t>
      </w:r>
    </w:p>
    <w:p w:rsidR="00026EF9" w:rsidRPr="004D0C7B" w:rsidRDefault="00026EF9" w:rsidP="004D0C7B">
      <w:pPr>
        <w:spacing w:after="0"/>
        <w:jc w:val="both"/>
        <w:rPr>
          <w:szCs w:val="24"/>
        </w:rPr>
      </w:pPr>
    </w:p>
    <w:p w:rsidR="00026EF9" w:rsidRPr="004D0C7B" w:rsidRDefault="00026EF9" w:rsidP="004D0C7B">
      <w:pPr>
        <w:spacing w:after="0"/>
        <w:jc w:val="both"/>
        <w:rPr>
          <w:szCs w:val="24"/>
        </w:rPr>
      </w:pPr>
      <w:r w:rsidRPr="004D0C7B">
        <w:rPr>
          <w:szCs w:val="24"/>
        </w:rPr>
        <w:t>Umowa o udzielanie świadczeń opieki zdrowotnej może być zawarta wyłącznie ze świadczeniodawcą, który został wybrany do udzielania świadczeń opieki zdrowotnej na zasadach określonych w niniejszym dziale.</w:t>
      </w:r>
    </w:p>
    <w:p w:rsidR="00026EF9" w:rsidRPr="004D0C7B" w:rsidRDefault="00026EF9" w:rsidP="004D0C7B">
      <w:pPr>
        <w:spacing w:before="25" w:after="0"/>
        <w:jc w:val="both"/>
        <w:rPr>
          <w:szCs w:val="24"/>
        </w:rPr>
      </w:pPr>
    </w:p>
    <w:p w:rsidR="00026EF9" w:rsidRPr="004D0C7B" w:rsidRDefault="00026EF9" w:rsidP="004D0C7B">
      <w:pPr>
        <w:spacing w:before="25" w:after="0"/>
        <w:jc w:val="both"/>
        <w:rPr>
          <w:szCs w:val="24"/>
        </w:rPr>
      </w:pPr>
      <w:r w:rsidRPr="004D0C7B">
        <w:rPr>
          <w:szCs w:val="24"/>
        </w:rPr>
        <w:t>Nie można zawrzeć umowy o udzielanie świadczeń opieki zdrowotnej z lekarzem, pielęgniarką, położną, inną osobą wykonującą zawód medyczny lub psychologiem, jeżeli udzielają oni świadczeń opieki zdrowotnej u świadczeniodawcy, który zawarł umowę o udzielanie świadczeń opieki zdrowotnej z Funduszem.</w:t>
      </w:r>
    </w:p>
    <w:sectPr w:rsidR="00026EF9" w:rsidRPr="004D0C7B">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E3BF0"/>
    <w:multiLevelType w:val="hybridMultilevel"/>
    <w:tmpl w:val="54665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9967AC"/>
    <w:multiLevelType w:val="hybridMultilevel"/>
    <w:tmpl w:val="E1D8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B177C1"/>
    <w:multiLevelType w:val="hybridMultilevel"/>
    <w:tmpl w:val="EBC6B2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671277F"/>
    <w:multiLevelType w:val="hybridMultilevel"/>
    <w:tmpl w:val="2812A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C868A6"/>
    <w:multiLevelType w:val="hybridMultilevel"/>
    <w:tmpl w:val="E03C1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A683FEB"/>
    <w:multiLevelType w:val="hybridMultilevel"/>
    <w:tmpl w:val="9886F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79462D"/>
    <w:multiLevelType w:val="hybridMultilevel"/>
    <w:tmpl w:val="D0C47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DF151D6"/>
    <w:multiLevelType w:val="multilevel"/>
    <w:tmpl w:val="7AF0C5B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0"/>
  </w:num>
  <w:num w:numId="4">
    <w:abstractNumId w:val="3"/>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9F"/>
    <w:rsid w:val="00015B89"/>
    <w:rsid w:val="00026EF9"/>
    <w:rsid w:val="00047B90"/>
    <w:rsid w:val="00063119"/>
    <w:rsid w:val="00093EFC"/>
    <w:rsid w:val="000F6454"/>
    <w:rsid w:val="00113FD2"/>
    <w:rsid w:val="00135B91"/>
    <w:rsid w:val="0013773D"/>
    <w:rsid w:val="001423AA"/>
    <w:rsid w:val="001437AA"/>
    <w:rsid w:val="00167E0D"/>
    <w:rsid w:val="001972E0"/>
    <w:rsid w:val="001A0472"/>
    <w:rsid w:val="001B6065"/>
    <w:rsid w:val="00241ED0"/>
    <w:rsid w:val="00246859"/>
    <w:rsid w:val="00255157"/>
    <w:rsid w:val="002E4BAB"/>
    <w:rsid w:val="00370F27"/>
    <w:rsid w:val="00376295"/>
    <w:rsid w:val="00394756"/>
    <w:rsid w:val="003B3356"/>
    <w:rsid w:val="003D342A"/>
    <w:rsid w:val="003D42FB"/>
    <w:rsid w:val="003E3F30"/>
    <w:rsid w:val="00401945"/>
    <w:rsid w:val="004073BB"/>
    <w:rsid w:val="00483537"/>
    <w:rsid w:val="00492EB6"/>
    <w:rsid w:val="004A510D"/>
    <w:rsid w:val="004D0C7B"/>
    <w:rsid w:val="00510FE2"/>
    <w:rsid w:val="0053354A"/>
    <w:rsid w:val="00557203"/>
    <w:rsid w:val="005851D3"/>
    <w:rsid w:val="005A0159"/>
    <w:rsid w:val="005C1DB7"/>
    <w:rsid w:val="005C277C"/>
    <w:rsid w:val="005F4AE5"/>
    <w:rsid w:val="0065243E"/>
    <w:rsid w:val="00654F06"/>
    <w:rsid w:val="006A6622"/>
    <w:rsid w:val="00757ADD"/>
    <w:rsid w:val="00772419"/>
    <w:rsid w:val="007D5CCD"/>
    <w:rsid w:val="00842AEC"/>
    <w:rsid w:val="00852C0C"/>
    <w:rsid w:val="008C1C33"/>
    <w:rsid w:val="00933E56"/>
    <w:rsid w:val="00946E62"/>
    <w:rsid w:val="00962B35"/>
    <w:rsid w:val="009E0A7D"/>
    <w:rsid w:val="00A32661"/>
    <w:rsid w:val="00A420D0"/>
    <w:rsid w:val="00B0484B"/>
    <w:rsid w:val="00B106F6"/>
    <w:rsid w:val="00B43203"/>
    <w:rsid w:val="00B658CF"/>
    <w:rsid w:val="00BD662C"/>
    <w:rsid w:val="00C25D3F"/>
    <w:rsid w:val="00CA40C1"/>
    <w:rsid w:val="00CE4428"/>
    <w:rsid w:val="00DB2161"/>
    <w:rsid w:val="00DE2C6D"/>
    <w:rsid w:val="00DF4E43"/>
    <w:rsid w:val="00E14082"/>
    <w:rsid w:val="00E309DE"/>
    <w:rsid w:val="00E32519"/>
    <w:rsid w:val="00E60867"/>
    <w:rsid w:val="00E829D8"/>
    <w:rsid w:val="00EE4265"/>
    <w:rsid w:val="00F21395"/>
    <w:rsid w:val="00F24A9F"/>
    <w:rsid w:val="00F423D8"/>
    <w:rsid w:val="00F5189C"/>
    <w:rsid w:val="00F629E8"/>
    <w:rsid w:val="00F67A3B"/>
    <w:rsid w:val="00FA74EB"/>
    <w:rsid w:val="00FC21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12FD"/>
  <w15:docId w15:val="{03130EDF-4178-4ED9-B4D3-3DA300FE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character" w:customStyle="1" w:styleId="alb">
    <w:name w:val="a_lb"/>
    <w:basedOn w:val="Domylnaczcionkaakapitu"/>
    <w:rsid w:val="007D5CCD"/>
  </w:style>
  <w:style w:type="character" w:customStyle="1" w:styleId="alb-s">
    <w:name w:val="a_lb-s"/>
    <w:basedOn w:val="Domylnaczcionkaakapitu"/>
    <w:rsid w:val="007D5CCD"/>
  </w:style>
  <w:style w:type="paragraph" w:styleId="NormalnyWeb">
    <w:name w:val="Normal (Web)"/>
    <w:basedOn w:val="Normalny"/>
    <w:uiPriority w:val="99"/>
    <w:semiHidden/>
    <w:unhideWhenUsed/>
    <w:rsid w:val="007D5CCD"/>
    <w:pPr>
      <w:spacing w:before="100" w:beforeAutospacing="1" w:after="100" w:afterAutospacing="1" w:line="240" w:lineRule="auto"/>
    </w:pPr>
    <w:rPr>
      <w:szCs w:val="24"/>
    </w:rPr>
  </w:style>
  <w:style w:type="character" w:customStyle="1" w:styleId="ng-binding">
    <w:name w:val="ng-binding"/>
    <w:basedOn w:val="Domylnaczcionkaakapitu"/>
    <w:rsid w:val="002E4BAB"/>
  </w:style>
  <w:style w:type="character" w:customStyle="1" w:styleId="ng-scope">
    <w:name w:val="ng-scope"/>
    <w:basedOn w:val="Domylnaczcionkaakapitu"/>
    <w:rsid w:val="002E4BAB"/>
  </w:style>
  <w:style w:type="paragraph" w:styleId="Akapitzlist">
    <w:name w:val="List Paragraph"/>
    <w:basedOn w:val="Normalny"/>
    <w:uiPriority w:val="34"/>
    <w:qFormat/>
    <w:rsid w:val="0053354A"/>
    <w:pPr>
      <w:ind w:left="720"/>
      <w:contextualSpacing/>
    </w:pPr>
  </w:style>
  <w:style w:type="character" w:customStyle="1" w:styleId="ng-binding1">
    <w:name w:val="ng-binding1"/>
    <w:basedOn w:val="Domylnaczcionkaakapitu"/>
    <w:rsid w:val="00C25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0579">
      <w:bodyDiv w:val="1"/>
      <w:marLeft w:val="0"/>
      <w:marRight w:val="0"/>
      <w:marTop w:val="0"/>
      <w:marBottom w:val="0"/>
      <w:divBdr>
        <w:top w:val="none" w:sz="0" w:space="0" w:color="auto"/>
        <w:left w:val="none" w:sz="0" w:space="0" w:color="auto"/>
        <w:bottom w:val="none" w:sz="0" w:space="0" w:color="auto"/>
        <w:right w:val="none" w:sz="0" w:space="0" w:color="auto"/>
      </w:divBdr>
    </w:div>
    <w:div w:id="359093519">
      <w:bodyDiv w:val="1"/>
      <w:marLeft w:val="0"/>
      <w:marRight w:val="0"/>
      <w:marTop w:val="0"/>
      <w:marBottom w:val="0"/>
      <w:divBdr>
        <w:top w:val="none" w:sz="0" w:space="0" w:color="auto"/>
        <w:left w:val="none" w:sz="0" w:space="0" w:color="auto"/>
        <w:bottom w:val="none" w:sz="0" w:space="0" w:color="auto"/>
        <w:right w:val="none" w:sz="0" w:space="0" w:color="auto"/>
      </w:divBdr>
    </w:div>
    <w:div w:id="440761480">
      <w:bodyDiv w:val="1"/>
      <w:marLeft w:val="0"/>
      <w:marRight w:val="0"/>
      <w:marTop w:val="0"/>
      <w:marBottom w:val="0"/>
      <w:divBdr>
        <w:top w:val="none" w:sz="0" w:space="0" w:color="auto"/>
        <w:left w:val="none" w:sz="0" w:space="0" w:color="auto"/>
        <w:bottom w:val="none" w:sz="0" w:space="0" w:color="auto"/>
        <w:right w:val="none" w:sz="0" w:space="0" w:color="auto"/>
      </w:divBdr>
      <w:divsChild>
        <w:div w:id="561914671">
          <w:marLeft w:val="0"/>
          <w:marRight w:val="0"/>
          <w:marTop w:val="312"/>
          <w:marBottom w:val="0"/>
          <w:divBdr>
            <w:top w:val="none" w:sz="0" w:space="0" w:color="auto"/>
            <w:left w:val="none" w:sz="0" w:space="0" w:color="auto"/>
            <w:bottom w:val="none" w:sz="0" w:space="0" w:color="auto"/>
            <w:right w:val="none" w:sz="0" w:space="0" w:color="auto"/>
          </w:divBdr>
        </w:div>
        <w:div w:id="1156188872">
          <w:marLeft w:val="0"/>
          <w:marRight w:val="0"/>
          <w:marTop w:val="312"/>
          <w:marBottom w:val="0"/>
          <w:divBdr>
            <w:top w:val="none" w:sz="0" w:space="0" w:color="auto"/>
            <w:left w:val="none" w:sz="0" w:space="0" w:color="auto"/>
            <w:bottom w:val="none" w:sz="0" w:space="0" w:color="auto"/>
            <w:right w:val="none" w:sz="0" w:space="0" w:color="auto"/>
          </w:divBdr>
        </w:div>
      </w:divsChild>
    </w:div>
    <w:div w:id="514345822">
      <w:bodyDiv w:val="1"/>
      <w:marLeft w:val="0"/>
      <w:marRight w:val="0"/>
      <w:marTop w:val="0"/>
      <w:marBottom w:val="0"/>
      <w:divBdr>
        <w:top w:val="none" w:sz="0" w:space="0" w:color="auto"/>
        <w:left w:val="none" w:sz="0" w:space="0" w:color="auto"/>
        <w:bottom w:val="none" w:sz="0" w:space="0" w:color="auto"/>
        <w:right w:val="none" w:sz="0" w:space="0" w:color="auto"/>
      </w:divBdr>
    </w:div>
    <w:div w:id="659966066">
      <w:bodyDiv w:val="1"/>
      <w:marLeft w:val="0"/>
      <w:marRight w:val="0"/>
      <w:marTop w:val="0"/>
      <w:marBottom w:val="0"/>
      <w:divBdr>
        <w:top w:val="none" w:sz="0" w:space="0" w:color="auto"/>
        <w:left w:val="none" w:sz="0" w:space="0" w:color="auto"/>
        <w:bottom w:val="none" w:sz="0" w:space="0" w:color="auto"/>
        <w:right w:val="none" w:sz="0" w:space="0" w:color="auto"/>
      </w:divBdr>
    </w:div>
    <w:div w:id="720598827">
      <w:bodyDiv w:val="1"/>
      <w:marLeft w:val="0"/>
      <w:marRight w:val="0"/>
      <w:marTop w:val="0"/>
      <w:marBottom w:val="0"/>
      <w:divBdr>
        <w:top w:val="none" w:sz="0" w:space="0" w:color="auto"/>
        <w:left w:val="none" w:sz="0" w:space="0" w:color="auto"/>
        <w:bottom w:val="none" w:sz="0" w:space="0" w:color="auto"/>
        <w:right w:val="none" w:sz="0" w:space="0" w:color="auto"/>
      </w:divBdr>
      <w:divsChild>
        <w:div w:id="1506440665">
          <w:marLeft w:val="0"/>
          <w:marRight w:val="0"/>
          <w:marTop w:val="72"/>
          <w:marBottom w:val="0"/>
          <w:divBdr>
            <w:top w:val="none" w:sz="0" w:space="0" w:color="auto"/>
            <w:left w:val="none" w:sz="0" w:space="0" w:color="auto"/>
            <w:bottom w:val="none" w:sz="0" w:space="0" w:color="auto"/>
            <w:right w:val="none" w:sz="0" w:space="0" w:color="auto"/>
          </w:divBdr>
          <w:divsChild>
            <w:div w:id="178742655">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92872072">
      <w:bodyDiv w:val="1"/>
      <w:marLeft w:val="0"/>
      <w:marRight w:val="0"/>
      <w:marTop w:val="0"/>
      <w:marBottom w:val="0"/>
      <w:divBdr>
        <w:top w:val="none" w:sz="0" w:space="0" w:color="auto"/>
        <w:left w:val="none" w:sz="0" w:space="0" w:color="auto"/>
        <w:bottom w:val="none" w:sz="0" w:space="0" w:color="auto"/>
        <w:right w:val="none" w:sz="0" w:space="0" w:color="auto"/>
      </w:divBdr>
      <w:divsChild>
        <w:div w:id="1890801795">
          <w:marLeft w:val="0"/>
          <w:marRight w:val="0"/>
          <w:marTop w:val="72"/>
          <w:marBottom w:val="0"/>
          <w:divBdr>
            <w:top w:val="none" w:sz="0" w:space="0" w:color="auto"/>
            <w:left w:val="none" w:sz="0" w:space="0" w:color="auto"/>
            <w:bottom w:val="none" w:sz="0" w:space="0" w:color="auto"/>
            <w:right w:val="none" w:sz="0" w:space="0" w:color="auto"/>
          </w:divBdr>
        </w:div>
      </w:divsChild>
    </w:div>
    <w:div w:id="1031803067">
      <w:bodyDiv w:val="1"/>
      <w:marLeft w:val="0"/>
      <w:marRight w:val="0"/>
      <w:marTop w:val="0"/>
      <w:marBottom w:val="0"/>
      <w:divBdr>
        <w:top w:val="none" w:sz="0" w:space="0" w:color="auto"/>
        <w:left w:val="none" w:sz="0" w:space="0" w:color="auto"/>
        <w:bottom w:val="none" w:sz="0" w:space="0" w:color="auto"/>
        <w:right w:val="none" w:sz="0" w:space="0" w:color="auto"/>
      </w:divBdr>
    </w:div>
    <w:div w:id="1060594175">
      <w:bodyDiv w:val="1"/>
      <w:marLeft w:val="0"/>
      <w:marRight w:val="0"/>
      <w:marTop w:val="0"/>
      <w:marBottom w:val="0"/>
      <w:divBdr>
        <w:top w:val="none" w:sz="0" w:space="0" w:color="auto"/>
        <w:left w:val="none" w:sz="0" w:space="0" w:color="auto"/>
        <w:bottom w:val="none" w:sz="0" w:space="0" w:color="auto"/>
        <w:right w:val="none" w:sz="0" w:space="0" w:color="auto"/>
      </w:divBdr>
    </w:div>
    <w:div w:id="1403335854">
      <w:bodyDiv w:val="1"/>
      <w:marLeft w:val="0"/>
      <w:marRight w:val="0"/>
      <w:marTop w:val="0"/>
      <w:marBottom w:val="0"/>
      <w:divBdr>
        <w:top w:val="none" w:sz="0" w:space="0" w:color="auto"/>
        <w:left w:val="none" w:sz="0" w:space="0" w:color="auto"/>
        <w:bottom w:val="none" w:sz="0" w:space="0" w:color="auto"/>
        <w:right w:val="none" w:sz="0" w:space="0" w:color="auto"/>
      </w:divBdr>
      <w:divsChild>
        <w:div w:id="1841312146">
          <w:marLeft w:val="0"/>
          <w:marRight w:val="0"/>
          <w:marTop w:val="288"/>
          <w:marBottom w:val="0"/>
          <w:divBdr>
            <w:top w:val="none" w:sz="0" w:space="0" w:color="auto"/>
            <w:left w:val="none" w:sz="0" w:space="0" w:color="auto"/>
            <w:bottom w:val="none" w:sz="0" w:space="0" w:color="auto"/>
            <w:right w:val="none" w:sz="0" w:space="0" w:color="auto"/>
          </w:divBdr>
        </w:div>
      </w:divsChild>
    </w:div>
    <w:div w:id="1495416504">
      <w:bodyDiv w:val="1"/>
      <w:marLeft w:val="0"/>
      <w:marRight w:val="0"/>
      <w:marTop w:val="0"/>
      <w:marBottom w:val="0"/>
      <w:divBdr>
        <w:top w:val="none" w:sz="0" w:space="0" w:color="auto"/>
        <w:left w:val="none" w:sz="0" w:space="0" w:color="auto"/>
        <w:bottom w:val="none" w:sz="0" w:space="0" w:color="auto"/>
        <w:right w:val="none" w:sz="0" w:space="0" w:color="auto"/>
      </w:divBdr>
    </w:div>
    <w:div w:id="1497762589">
      <w:bodyDiv w:val="1"/>
      <w:marLeft w:val="0"/>
      <w:marRight w:val="0"/>
      <w:marTop w:val="0"/>
      <w:marBottom w:val="0"/>
      <w:divBdr>
        <w:top w:val="none" w:sz="0" w:space="0" w:color="auto"/>
        <w:left w:val="none" w:sz="0" w:space="0" w:color="auto"/>
        <w:bottom w:val="none" w:sz="0" w:space="0" w:color="auto"/>
        <w:right w:val="none" w:sz="0" w:space="0" w:color="auto"/>
      </w:divBdr>
    </w:div>
    <w:div w:id="1518928336">
      <w:bodyDiv w:val="1"/>
      <w:marLeft w:val="0"/>
      <w:marRight w:val="0"/>
      <w:marTop w:val="0"/>
      <w:marBottom w:val="0"/>
      <w:divBdr>
        <w:top w:val="none" w:sz="0" w:space="0" w:color="auto"/>
        <w:left w:val="none" w:sz="0" w:space="0" w:color="auto"/>
        <w:bottom w:val="none" w:sz="0" w:space="0" w:color="auto"/>
        <w:right w:val="none" w:sz="0" w:space="0" w:color="auto"/>
      </w:divBdr>
      <w:divsChild>
        <w:div w:id="1521553861">
          <w:marLeft w:val="0"/>
          <w:marRight w:val="0"/>
          <w:marTop w:val="72"/>
          <w:marBottom w:val="0"/>
          <w:divBdr>
            <w:top w:val="none" w:sz="0" w:space="0" w:color="auto"/>
            <w:left w:val="none" w:sz="0" w:space="0" w:color="auto"/>
            <w:bottom w:val="none" w:sz="0" w:space="0" w:color="auto"/>
            <w:right w:val="none" w:sz="0" w:space="0" w:color="auto"/>
          </w:divBdr>
        </w:div>
        <w:div w:id="1353530171">
          <w:marLeft w:val="0"/>
          <w:marRight w:val="0"/>
          <w:marTop w:val="72"/>
          <w:marBottom w:val="0"/>
          <w:divBdr>
            <w:top w:val="none" w:sz="0" w:space="0" w:color="auto"/>
            <w:left w:val="none" w:sz="0" w:space="0" w:color="auto"/>
            <w:bottom w:val="none" w:sz="0" w:space="0" w:color="auto"/>
            <w:right w:val="none" w:sz="0" w:space="0" w:color="auto"/>
          </w:divBdr>
        </w:div>
      </w:divsChild>
    </w:div>
    <w:div w:id="1620914295">
      <w:bodyDiv w:val="1"/>
      <w:marLeft w:val="0"/>
      <w:marRight w:val="0"/>
      <w:marTop w:val="0"/>
      <w:marBottom w:val="0"/>
      <w:divBdr>
        <w:top w:val="none" w:sz="0" w:space="0" w:color="auto"/>
        <w:left w:val="none" w:sz="0" w:space="0" w:color="auto"/>
        <w:bottom w:val="none" w:sz="0" w:space="0" w:color="auto"/>
        <w:right w:val="none" w:sz="0" w:space="0" w:color="auto"/>
      </w:divBdr>
      <w:divsChild>
        <w:div w:id="173879605">
          <w:marLeft w:val="0"/>
          <w:marRight w:val="0"/>
          <w:marTop w:val="312"/>
          <w:marBottom w:val="0"/>
          <w:divBdr>
            <w:top w:val="none" w:sz="0" w:space="0" w:color="auto"/>
            <w:left w:val="none" w:sz="0" w:space="0" w:color="auto"/>
            <w:bottom w:val="none" w:sz="0" w:space="0" w:color="auto"/>
            <w:right w:val="none" w:sz="0" w:space="0" w:color="auto"/>
          </w:divBdr>
        </w:div>
        <w:div w:id="1332636989">
          <w:marLeft w:val="0"/>
          <w:marRight w:val="0"/>
          <w:marTop w:val="312"/>
          <w:marBottom w:val="0"/>
          <w:divBdr>
            <w:top w:val="none" w:sz="0" w:space="0" w:color="auto"/>
            <w:left w:val="none" w:sz="0" w:space="0" w:color="auto"/>
            <w:bottom w:val="none" w:sz="0" w:space="0" w:color="auto"/>
            <w:right w:val="none" w:sz="0" w:space="0" w:color="auto"/>
          </w:divBdr>
        </w:div>
      </w:divsChild>
    </w:div>
    <w:div w:id="1678195421">
      <w:bodyDiv w:val="1"/>
      <w:marLeft w:val="0"/>
      <w:marRight w:val="0"/>
      <w:marTop w:val="0"/>
      <w:marBottom w:val="0"/>
      <w:divBdr>
        <w:top w:val="none" w:sz="0" w:space="0" w:color="auto"/>
        <w:left w:val="none" w:sz="0" w:space="0" w:color="auto"/>
        <w:bottom w:val="none" w:sz="0" w:space="0" w:color="auto"/>
        <w:right w:val="none" w:sz="0" w:space="0" w:color="auto"/>
      </w:divBdr>
    </w:div>
    <w:div w:id="1682126221">
      <w:bodyDiv w:val="1"/>
      <w:marLeft w:val="0"/>
      <w:marRight w:val="0"/>
      <w:marTop w:val="0"/>
      <w:marBottom w:val="0"/>
      <w:divBdr>
        <w:top w:val="none" w:sz="0" w:space="0" w:color="auto"/>
        <w:left w:val="none" w:sz="0" w:space="0" w:color="auto"/>
        <w:bottom w:val="none" w:sz="0" w:space="0" w:color="auto"/>
        <w:right w:val="none" w:sz="0" w:space="0" w:color="auto"/>
      </w:divBdr>
      <w:divsChild>
        <w:div w:id="1132408327">
          <w:marLeft w:val="360"/>
          <w:marRight w:val="0"/>
          <w:marTop w:val="72"/>
          <w:marBottom w:val="72"/>
          <w:divBdr>
            <w:top w:val="none" w:sz="0" w:space="0" w:color="auto"/>
            <w:left w:val="none" w:sz="0" w:space="0" w:color="auto"/>
            <w:bottom w:val="none" w:sz="0" w:space="0" w:color="auto"/>
            <w:right w:val="none" w:sz="0" w:space="0" w:color="auto"/>
          </w:divBdr>
        </w:div>
        <w:div w:id="144786222">
          <w:marLeft w:val="360"/>
          <w:marRight w:val="0"/>
          <w:marTop w:val="0"/>
          <w:marBottom w:val="72"/>
          <w:divBdr>
            <w:top w:val="none" w:sz="0" w:space="0" w:color="auto"/>
            <w:left w:val="none" w:sz="0" w:space="0" w:color="auto"/>
            <w:bottom w:val="none" w:sz="0" w:space="0" w:color="auto"/>
            <w:right w:val="none" w:sz="0" w:space="0" w:color="auto"/>
          </w:divBdr>
          <w:divsChild>
            <w:div w:id="11765725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59136353">
      <w:bodyDiv w:val="1"/>
      <w:marLeft w:val="0"/>
      <w:marRight w:val="0"/>
      <w:marTop w:val="0"/>
      <w:marBottom w:val="0"/>
      <w:divBdr>
        <w:top w:val="none" w:sz="0" w:space="0" w:color="auto"/>
        <w:left w:val="none" w:sz="0" w:space="0" w:color="auto"/>
        <w:bottom w:val="none" w:sz="0" w:space="0" w:color="auto"/>
        <w:right w:val="none" w:sz="0" w:space="0" w:color="auto"/>
      </w:divBdr>
      <w:divsChild>
        <w:div w:id="1338534491">
          <w:marLeft w:val="0"/>
          <w:marRight w:val="0"/>
          <w:marTop w:val="72"/>
          <w:marBottom w:val="0"/>
          <w:divBdr>
            <w:top w:val="none" w:sz="0" w:space="0" w:color="auto"/>
            <w:left w:val="none" w:sz="0" w:space="0" w:color="auto"/>
            <w:bottom w:val="none" w:sz="0" w:space="0" w:color="auto"/>
            <w:right w:val="none" w:sz="0" w:space="0" w:color="auto"/>
          </w:divBdr>
        </w:div>
        <w:div w:id="1536623612">
          <w:marLeft w:val="0"/>
          <w:marRight w:val="0"/>
          <w:marTop w:val="72"/>
          <w:marBottom w:val="0"/>
          <w:divBdr>
            <w:top w:val="none" w:sz="0" w:space="0" w:color="auto"/>
            <w:left w:val="none" w:sz="0" w:space="0" w:color="auto"/>
            <w:bottom w:val="none" w:sz="0" w:space="0" w:color="auto"/>
            <w:right w:val="none" w:sz="0" w:space="0" w:color="auto"/>
          </w:divBdr>
        </w:div>
      </w:divsChild>
    </w:div>
    <w:div w:id="1874805896">
      <w:bodyDiv w:val="1"/>
      <w:marLeft w:val="0"/>
      <w:marRight w:val="0"/>
      <w:marTop w:val="0"/>
      <w:marBottom w:val="0"/>
      <w:divBdr>
        <w:top w:val="none" w:sz="0" w:space="0" w:color="auto"/>
        <w:left w:val="none" w:sz="0" w:space="0" w:color="auto"/>
        <w:bottom w:val="none" w:sz="0" w:space="0" w:color="auto"/>
        <w:right w:val="none" w:sz="0" w:space="0" w:color="auto"/>
      </w:divBdr>
      <w:divsChild>
        <w:div w:id="915359398">
          <w:marLeft w:val="0"/>
          <w:marRight w:val="0"/>
          <w:marTop w:val="72"/>
          <w:marBottom w:val="0"/>
          <w:divBdr>
            <w:top w:val="none" w:sz="0" w:space="0" w:color="auto"/>
            <w:left w:val="none" w:sz="0" w:space="0" w:color="auto"/>
            <w:bottom w:val="none" w:sz="0" w:space="0" w:color="auto"/>
            <w:right w:val="none" w:sz="0" w:space="0" w:color="auto"/>
          </w:divBdr>
        </w:div>
      </w:divsChild>
    </w:div>
    <w:div w:id="1895852599">
      <w:bodyDiv w:val="1"/>
      <w:marLeft w:val="0"/>
      <w:marRight w:val="0"/>
      <w:marTop w:val="0"/>
      <w:marBottom w:val="0"/>
      <w:divBdr>
        <w:top w:val="none" w:sz="0" w:space="0" w:color="auto"/>
        <w:left w:val="none" w:sz="0" w:space="0" w:color="auto"/>
        <w:bottom w:val="none" w:sz="0" w:space="0" w:color="auto"/>
        <w:right w:val="none" w:sz="0" w:space="0" w:color="auto"/>
      </w:divBdr>
    </w:div>
    <w:div w:id="1909807159">
      <w:bodyDiv w:val="1"/>
      <w:marLeft w:val="0"/>
      <w:marRight w:val="0"/>
      <w:marTop w:val="0"/>
      <w:marBottom w:val="0"/>
      <w:divBdr>
        <w:top w:val="none" w:sz="0" w:space="0" w:color="auto"/>
        <w:left w:val="none" w:sz="0" w:space="0" w:color="auto"/>
        <w:bottom w:val="none" w:sz="0" w:space="0" w:color="auto"/>
        <w:right w:val="none" w:sz="0" w:space="0" w:color="auto"/>
      </w:divBdr>
    </w:div>
    <w:div w:id="209879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1616</Words>
  <Characters>9700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MDDP Michalik Dłuska Dziedzic i Partnerzy</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 Bieniek</dc:creator>
  <cp:lastModifiedBy>Martyna W</cp:lastModifiedBy>
  <cp:revision>48</cp:revision>
  <dcterms:created xsi:type="dcterms:W3CDTF">2019-05-26T19:14:00Z</dcterms:created>
  <dcterms:modified xsi:type="dcterms:W3CDTF">2019-05-28T05:01:00Z</dcterms:modified>
</cp:coreProperties>
</file>