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56"/>
      </w:tblGrid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Nazwa przedmiotu 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ind w:left="720"/>
              <w:jc w:val="center"/>
              <w:rPr>
                <w:sz w:val="20"/>
                <w:szCs w:val="20"/>
              </w:rPr>
            </w:pPr>
          </w:p>
          <w:p w:rsidR="002227F1" w:rsidRPr="004E0ED4" w:rsidRDefault="002227F1" w:rsidP="006A2A84">
            <w:pPr>
              <w:ind w:left="720"/>
              <w:jc w:val="center"/>
              <w:rPr>
                <w:sz w:val="20"/>
                <w:szCs w:val="20"/>
              </w:rPr>
            </w:pPr>
            <w:bookmarkStart w:id="0" w:name="_GoBack"/>
            <w:r w:rsidRPr="004E0ED4">
              <w:rPr>
                <w:sz w:val="20"/>
                <w:szCs w:val="20"/>
              </w:rPr>
              <w:t>Czarownice i inni. Historia procesu w dawnej Polsce</w:t>
            </w:r>
            <w:bookmarkEnd w:id="0"/>
            <w:r w:rsidRPr="004E0ED4">
              <w:rPr>
                <w:sz w:val="20"/>
                <w:szCs w:val="20"/>
              </w:rPr>
              <w:t>.</w:t>
            </w:r>
          </w:p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Nazwa przedmiotu w języku angielskim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rPr>
                <w:b/>
                <w:sz w:val="20"/>
                <w:szCs w:val="20"/>
              </w:rPr>
            </w:pPr>
          </w:p>
          <w:p w:rsidR="002227F1" w:rsidRPr="004E0ED4" w:rsidRDefault="002227F1" w:rsidP="006A2A84">
            <w:pPr>
              <w:ind w:left="720"/>
              <w:jc w:val="center"/>
              <w:rPr>
                <w:rFonts w:eastAsia="Calibri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4E0ED4">
              <w:rPr>
                <w:sz w:val="20"/>
                <w:szCs w:val="20"/>
                <w:lang w:val="en-US"/>
              </w:rPr>
              <w:t xml:space="preserve">Witches and </w:t>
            </w:r>
            <w:proofErr w:type="spellStart"/>
            <w:r w:rsidRPr="004E0ED4">
              <w:rPr>
                <w:sz w:val="20"/>
                <w:szCs w:val="20"/>
                <w:lang w:val="en-US"/>
              </w:rPr>
              <w:t>Rother</w:t>
            </w:r>
            <w:proofErr w:type="spellEnd"/>
            <w:r w:rsidRPr="004E0ED4">
              <w:rPr>
                <w:sz w:val="20"/>
                <w:szCs w:val="20"/>
                <w:lang w:val="en-US"/>
              </w:rPr>
              <w:t>. History of the process in former Poland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Jednostka oferująca przedmiot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Wydział Prawa i Administracji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Jednostka, dla której przedmiot jest oferowany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</w:p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Wydział Prawa i Administracji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Kod przedmiotu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Kod ERASMUS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Liczba punktów ECTS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2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Sposób zaliczenia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– zaliczenie na ocenę</w:t>
            </w:r>
          </w:p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Język wykładowy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Język polski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Określenie czy przedmiot może być wielokrotnie zaliczany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Nie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D9D9D9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Przynależność przedmiotu do grupy przedmiotów</w:t>
            </w:r>
          </w:p>
        </w:tc>
        <w:tc>
          <w:tcPr>
            <w:tcW w:w="6269" w:type="dxa"/>
            <w:shd w:val="clear" w:color="auto" w:fill="D9D9D9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Zajęcia fakultatywne.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Imię i nazwisko koordynatora/ów przedmiotu/cyklu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Prof. UMK, dr hab. Zbigniew </w:t>
            </w:r>
            <w:proofErr w:type="spellStart"/>
            <w:r w:rsidRPr="004E0ED4">
              <w:rPr>
                <w:sz w:val="20"/>
                <w:szCs w:val="20"/>
              </w:rPr>
              <w:t>Naworski</w:t>
            </w:r>
            <w:proofErr w:type="spellEnd"/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Całkowity nakład pracy studenta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ind w:firstLine="72"/>
              <w:rPr>
                <w:b/>
                <w:sz w:val="20"/>
                <w:szCs w:val="20"/>
                <w:u w:val="single"/>
              </w:rPr>
            </w:pPr>
            <w:r w:rsidRPr="004E0ED4">
              <w:rPr>
                <w:b/>
                <w:sz w:val="20"/>
                <w:szCs w:val="20"/>
              </w:rPr>
              <w:t>Godziny realizowane z udziałem nauczycieli</w:t>
            </w:r>
            <w:r w:rsidRPr="004E0ED4">
              <w:rPr>
                <w:b/>
                <w:sz w:val="20"/>
                <w:szCs w:val="20"/>
                <w:u w:val="single"/>
              </w:rPr>
              <w:t>:</w:t>
            </w:r>
          </w:p>
          <w:p w:rsidR="002227F1" w:rsidRPr="004E0ED4" w:rsidRDefault="002227F1" w:rsidP="002227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                           - 20 h,</w:t>
            </w:r>
          </w:p>
          <w:p w:rsidR="002227F1" w:rsidRPr="004E0ED4" w:rsidRDefault="002227F1" w:rsidP="002227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konsultacje osobiste         - 5 h,               </w:t>
            </w:r>
          </w:p>
          <w:p w:rsidR="002227F1" w:rsidRPr="004E0ED4" w:rsidRDefault="002227F1" w:rsidP="002227F1">
            <w:pPr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4E0ED4">
              <w:rPr>
                <w:sz w:val="20"/>
                <w:szCs w:val="20"/>
                <w:u w:val="single"/>
              </w:rPr>
              <w:t>konsultacje e-mailowe     - 5 h</w:t>
            </w:r>
          </w:p>
          <w:p w:rsidR="002227F1" w:rsidRPr="004E0ED4" w:rsidRDefault="002227F1" w:rsidP="006A2A84">
            <w:pPr>
              <w:ind w:firstLine="72"/>
              <w:rPr>
                <w:b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       </w:t>
            </w:r>
            <w:r w:rsidRPr="004E0ED4">
              <w:rPr>
                <w:b/>
                <w:sz w:val="20"/>
                <w:szCs w:val="20"/>
              </w:rPr>
              <w:t>Razem:                                    - 30 h</w:t>
            </w:r>
          </w:p>
          <w:p w:rsidR="002227F1" w:rsidRPr="004E0ED4" w:rsidRDefault="002227F1" w:rsidP="006A2A84">
            <w:pPr>
              <w:rPr>
                <w:b/>
                <w:sz w:val="20"/>
                <w:szCs w:val="20"/>
              </w:rPr>
            </w:pPr>
          </w:p>
          <w:p w:rsidR="002227F1" w:rsidRPr="004E0ED4" w:rsidRDefault="002227F1" w:rsidP="006A2A84">
            <w:pPr>
              <w:rPr>
                <w:b/>
                <w:sz w:val="20"/>
                <w:szCs w:val="20"/>
              </w:rPr>
            </w:pPr>
            <w:r w:rsidRPr="004E0ED4">
              <w:rPr>
                <w:b/>
                <w:sz w:val="20"/>
                <w:szCs w:val="20"/>
              </w:rPr>
              <w:t>Praca własna studenta:</w:t>
            </w:r>
          </w:p>
          <w:p w:rsidR="002227F1" w:rsidRPr="004E0ED4" w:rsidRDefault="002227F1" w:rsidP="002227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przygotowanie do zaliczenia (studiowanie wskazanej literatury)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                                                                       - 10 h,</w:t>
            </w:r>
          </w:p>
          <w:p w:rsidR="002227F1" w:rsidRPr="004E0ED4" w:rsidRDefault="002227F1" w:rsidP="002227F1">
            <w:pPr>
              <w:numPr>
                <w:ilvl w:val="0"/>
                <w:numId w:val="9"/>
              </w:numPr>
              <w:rPr>
                <w:sz w:val="20"/>
                <w:szCs w:val="20"/>
                <w:u w:val="single"/>
              </w:rPr>
            </w:pPr>
            <w:r w:rsidRPr="004E0ED4">
              <w:rPr>
                <w:sz w:val="20"/>
                <w:szCs w:val="20"/>
                <w:u w:val="single"/>
              </w:rPr>
              <w:t xml:space="preserve">pisanie esejów                                   - 10 h            </w:t>
            </w:r>
          </w:p>
          <w:p w:rsidR="002227F1" w:rsidRPr="004E0ED4" w:rsidRDefault="002227F1" w:rsidP="006A2A84">
            <w:pPr>
              <w:ind w:firstLine="72"/>
              <w:rPr>
                <w:b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     </w:t>
            </w:r>
            <w:r w:rsidRPr="004E0ED4">
              <w:rPr>
                <w:b/>
                <w:sz w:val="20"/>
                <w:szCs w:val="20"/>
              </w:rPr>
              <w:t>Razem:                                                     - 20 h</w:t>
            </w:r>
          </w:p>
          <w:p w:rsidR="002227F1" w:rsidRPr="004E0ED4" w:rsidRDefault="002227F1" w:rsidP="006A2A84">
            <w:pPr>
              <w:ind w:firstLine="72"/>
              <w:rPr>
                <w:sz w:val="20"/>
                <w:szCs w:val="20"/>
              </w:rPr>
            </w:pPr>
          </w:p>
          <w:p w:rsidR="002227F1" w:rsidRPr="004E0ED4" w:rsidRDefault="002227F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b/>
                <w:sz w:val="20"/>
                <w:szCs w:val="20"/>
              </w:rPr>
              <w:t>Liczba godzin pracy studenta ogółem:        - 50 h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wiedza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spacing w:before="60" w:after="60"/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Wiedza</w:t>
            </w:r>
          </w:p>
          <w:p w:rsidR="002227F1" w:rsidRPr="004E0ED4" w:rsidRDefault="002227F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student ma pogłębioną wiedzę o specyfice różnorodnych stosunków i inst</w:t>
            </w:r>
            <w:r w:rsidRPr="004E0ED4">
              <w:rPr>
                <w:iCs/>
                <w:sz w:val="20"/>
                <w:szCs w:val="20"/>
              </w:rPr>
              <w:t>y</w:t>
            </w:r>
            <w:r w:rsidRPr="004E0ED4">
              <w:rPr>
                <w:iCs/>
                <w:sz w:val="20"/>
                <w:szCs w:val="20"/>
              </w:rPr>
              <w:t>tucjach prawnych w ich historycznym uwarunkowaniu i rozwoju (K_W03)/</w:t>
            </w:r>
          </w:p>
          <w:p w:rsidR="002227F1" w:rsidRPr="004E0ED4" w:rsidRDefault="002227F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student ma pogłębioną wiedzę o normach i regulacjach prawnych dotycz</w:t>
            </w:r>
            <w:r w:rsidRPr="004E0ED4">
              <w:rPr>
                <w:iCs/>
                <w:sz w:val="20"/>
                <w:szCs w:val="20"/>
              </w:rPr>
              <w:t>ą</w:t>
            </w:r>
            <w:r w:rsidRPr="004E0ED4">
              <w:rPr>
                <w:iCs/>
                <w:sz w:val="20"/>
                <w:szCs w:val="20"/>
              </w:rPr>
              <w:t>cych organizacji i funkcjonowania procesu w Polsce przedro</w:t>
            </w:r>
            <w:r w:rsidRPr="004E0ED4">
              <w:rPr>
                <w:iCs/>
                <w:sz w:val="20"/>
                <w:szCs w:val="20"/>
              </w:rPr>
              <w:t>z</w:t>
            </w:r>
            <w:r w:rsidRPr="004E0ED4">
              <w:rPr>
                <w:iCs/>
                <w:sz w:val="20"/>
                <w:szCs w:val="20"/>
              </w:rPr>
              <w:t>biorowej i jego ewolucji w toku dziejów (K-W07)</w:t>
            </w:r>
          </w:p>
          <w:p w:rsidR="002227F1" w:rsidRPr="004E0ED4" w:rsidRDefault="002227F1" w:rsidP="006A2A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umiejętności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spacing w:before="60" w:after="60"/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Umiejętności</w:t>
            </w:r>
          </w:p>
          <w:p w:rsidR="002227F1" w:rsidRPr="004E0ED4" w:rsidRDefault="002227F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 xml:space="preserve">- student potrafi prawidłowo interpretować i wyjaśniać zjawiska </w:t>
            </w:r>
            <w:proofErr w:type="spellStart"/>
            <w:r w:rsidRPr="004E0ED4">
              <w:rPr>
                <w:iCs/>
                <w:sz w:val="20"/>
                <w:szCs w:val="20"/>
              </w:rPr>
              <w:t>sp</w:t>
            </w:r>
            <w:r w:rsidRPr="004E0ED4">
              <w:rPr>
                <w:iCs/>
                <w:sz w:val="20"/>
                <w:szCs w:val="20"/>
              </w:rPr>
              <w:t>o</w:t>
            </w:r>
            <w:r w:rsidRPr="004E0ED4">
              <w:rPr>
                <w:iCs/>
                <w:sz w:val="20"/>
                <w:szCs w:val="20"/>
              </w:rPr>
              <w:t>łeczno</w:t>
            </w:r>
            <w:proofErr w:type="spellEnd"/>
            <w:r w:rsidRPr="004E0ED4">
              <w:rPr>
                <w:iCs/>
                <w:sz w:val="20"/>
                <w:szCs w:val="20"/>
              </w:rPr>
              <w:t xml:space="preserve"> – prawne w ich kontekście historycznym w zakresie nauk prawnych (K_U01);</w:t>
            </w:r>
          </w:p>
          <w:p w:rsidR="002227F1" w:rsidRPr="004E0ED4" w:rsidRDefault="002227F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-student posiada umiejętność rozumienia i dogłębnego analizowania zjawisk społecznego odziaływania instytucji publicznych na życie społeczne w ko</w:t>
            </w:r>
            <w:r w:rsidRPr="004E0ED4">
              <w:rPr>
                <w:iCs/>
                <w:sz w:val="20"/>
                <w:szCs w:val="20"/>
              </w:rPr>
              <w:t>n</w:t>
            </w:r>
            <w:r w:rsidRPr="004E0ED4">
              <w:rPr>
                <w:iCs/>
                <w:sz w:val="20"/>
                <w:szCs w:val="20"/>
              </w:rPr>
              <w:t>tekście ich historycznego rozwoju i tradycji (K_U08).</w:t>
            </w:r>
          </w:p>
          <w:p w:rsidR="002227F1" w:rsidRPr="004E0ED4" w:rsidRDefault="002227F1" w:rsidP="006A2A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Efekty kształcenia – kompetencje społeczne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spacing w:before="60" w:after="60"/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Kompetencje społeczne</w:t>
            </w:r>
          </w:p>
          <w:p w:rsidR="002227F1" w:rsidRPr="004E0ED4" w:rsidRDefault="002227F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student ma świadomość poziomu swojej wiedzy i umiejętności i doskonale rozumie potrzebę jej ciągłego pogłębiania i aktualizowania na podstawie wiadomości o ciągłej zmienności sytuacji w toku rozw</w:t>
            </w:r>
            <w:r w:rsidRPr="004E0ED4">
              <w:rPr>
                <w:iCs/>
                <w:sz w:val="20"/>
                <w:szCs w:val="20"/>
              </w:rPr>
              <w:t>o</w:t>
            </w:r>
            <w:r w:rsidRPr="004E0ED4">
              <w:rPr>
                <w:iCs/>
                <w:sz w:val="20"/>
                <w:szCs w:val="20"/>
              </w:rPr>
              <w:t>ju dziejowego Polski (K_K01)</w:t>
            </w:r>
          </w:p>
          <w:p w:rsidR="002227F1" w:rsidRPr="004E0ED4" w:rsidRDefault="002227F1" w:rsidP="006A2A84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lastRenderedPageBreak/>
              <w:t>-student potrafi samodzielnie doskonalić nabytą wiedzę i umiejętności i p</w:t>
            </w:r>
            <w:r w:rsidRPr="004E0ED4">
              <w:rPr>
                <w:iCs/>
                <w:sz w:val="20"/>
                <w:szCs w:val="20"/>
              </w:rPr>
              <w:t>o</w:t>
            </w:r>
            <w:r w:rsidRPr="004E0ED4">
              <w:rPr>
                <w:iCs/>
                <w:sz w:val="20"/>
                <w:szCs w:val="20"/>
              </w:rPr>
              <w:t>trafi działać w spos</w:t>
            </w:r>
            <w:r>
              <w:rPr>
                <w:iCs/>
                <w:sz w:val="20"/>
                <w:szCs w:val="20"/>
              </w:rPr>
              <w:t>ób innowacyjny (K_K06), (K_K07)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Wykład – metodą tradycyjną.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Wymagania wstępne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Brak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Skrócony opis przedmiotu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spacing w:line="276" w:lineRule="auto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Celem wykładu jest przedstawienie studentom – przyszłym prawn</w:t>
            </w:r>
            <w:r w:rsidRPr="004E0ED4">
              <w:rPr>
                <w:sz w:val="20"/>
                <w:szCs w:val="20"/>
              </w:rPr>
              <w:t>i</w:t>
            </w:r>
            <w:r w:rsidRPr="004E0ED4">
              <w:rPr>
                <w:sz w:val="20"/>
                <w:szCs w:val="20"/>
              </w:rPr>
              <w:t>kom wspaniałych tradycji związanych z rozwojem rodzimego procesu sądowego, jego przebiegu i instytucji z nim związanych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Pełny opis przedmiotu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1.  Zagadnienia wstępne – określenie procesu, dzieje procesu (2 h)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2. Sąd i jego funkcjonariusze (2 h)</w:t>
            </w:r>
          </w:p>
          <w:p w:rsidR="002227F1" w:rsidRPr="004E0ED4" w:rsidRDefault="002227F1" w:rsidP="002227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sądów</w:t>
            </w:r>
          </w:p>
          <w:p w:rsidR="002227F1" w:rsidRPr="004E0ED4" w:rsidRDefault="002227F1" w:rsidP="002227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Sędziowie i ich zastępcy</w:t>
            </w:r>
          </w:p>
          <w:p w:rsidR="002227F1" w:rsidRPr="004E0ED4" w:rsidRDefault="002227F1" w:rsidP="002227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Asesorowie</w:t>
            </w:r>
          </w:p>
          <w:p w:rsidR="002227F1" w:rsidRPr="004E0ED4" w:rsidRDefault="002227F1" w:rsidP="002227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Instygator i woźny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3. Strony procesu i ich zastępcy (2 h)</w:t>
            </w:r>
          </w:p>
          <w:p w:rsidR="002227F1" w:rsidRPr="004E0ED4" w:rsidRDefault="002227F1" w:rsidP="002227F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Strony</w:t>
            </w:r>
          </w:p>
          <w:p w:rsidR="002227F1" w:rsidRPr="004E0ED4" w:rsidRDefault="002227F1" w:rsidP="002227F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Zdolność sądowa i procesowa</w:t>
            </w:r>
          </w:p>
          <w:p w:rsidR="002227F1" w:rsidRPr="004E0ED4" w:rsidRDefault="002227F1" w:rsidP="002227F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Prawa i obowiązki stron</w:t>
            </w:r>
          </w:p>
          <w:p w:rsidR="002227F1" w:rsidRPr="004E0ED4" w:rsidRDefault="002227F1" w:rsidP="002227F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Zastępcy stron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4. Studia procesu i ich rozwój (1 h)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5.  Pozew i jego rodzaje (1 h)</w:t>
            </w:r>
          </w:p>
          <w:p w:rsidR="002227F1" w:rsidRPr="004E0ED4" w:rsidRDefault="002227F1" w:rsidP="002227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pozwów</w:t>
            </w:r>
          </w:p>
          <w:p w:rsidR="002227F1" w:rsidRPr="004E0ED4" w:rsidRDefault="002227F1" w:rsidP="002227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Formy doręczenia</w:t>
            </w:r>
          </w:p>
          <w:p w:rsidR="002227F1" w:rsidRPr="004E0ED4" w:rsidRDefault="002227F1" w:rsidP="002227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Relacje złożenia pozwu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6. Dylacje (2 h)</w:t>
            </w:r>
          </w:p>
          <w:p w:rsidR="002227F1" w:rsidRPr="004E0ED4" w:rsidRDefault="002227F1" w:rsidP="002227F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dylacji</w:t>
            </w:r>
          </w:p>
          <w:p w:rsidR="002227F1" w:rsidRPr="004E0ED4" w:rsidRDefault="002227F1" w:rsidP="002227F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Zasady udzielania dylacji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7. Terminy (1 h)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8. Dowód (2 h)</w:t>
            </w:r>
          </w:p>
          <w:p w:rsidR="002227F1" w:rsidRPr="004E0ED4" w:rsidRDefault="002227F1" w:rsidP="00222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środków dowodowych i ich siła</w:t>
            </w:r>
          </w:p>
          <w:p w:rsidR="002227F1" w:rsidRPr="004E0ED4" w:rsidRDefault="002227F1" w:rsidP="002227F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Przyznanie dowodu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9. Wyrok (1 h)</w:t>
            </w:r>
          </w:p>
          <w:p w:rsidR="002227F1" w:rsidRPr="004E0ED4" w:rsidRDefault="002227F1" w:rsidP="002227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Rodzaje wyroków</w:t>
            </w:r>
          </w:p>
          <w:p w:rsidR="002227F1" w:rsidRPr="004E0ED4" w:rsidRDefault="002227F1" w:rsidP="002227F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Ogłoszenie wyroku i konsekwencje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10. Środki prawne przeciwko wyrokowi (1 h)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11. Egzekucja (1 h)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12. Proces o czary (2 h)</w:t>
            </w:r>
          </w:p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13. Procesy specjalne (1 h)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 xml:space="preserve">   Literatura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1. J. </w:t>
            </w:r>
            <w:proofErr w:type="spellStart"/>
            <w:r w:rsidRPr="004E0ED4">
              <w:rPr>
                <w:sz w:val="20"/>
                <w:szCs w:val="20"/>
              </w:rPr>
              <w:t>Rafacz</w:t>
            </w:r>
            <w:proofErr w:type="spellEnd"/>
            <w:r w:rsidRPr="004E0ED4">
              <w:rPr>
                <w:sz w:val="20"/>
                <w:szCs w:val="20"/>
              </w:rPr>
              <w:t xml:space="preserve">, </w:t>
            </w:r>
            <w:r w:rsidRPr="004E0ED4">
              <w:rPr>
                <w:i/>
                <w:sz w:val="20"/>
                <w:szCs w:val="20"/>
              </w:rPr>
              <w:t>Dawny proces polski</w:t>
            </w:r>
            <w:r w:rsidRPr="004E0ED4">
              <w:rPr>
                <w:sz w:val="20"/>
                <w:szCs w:val="20"/>
              </w:rPr>
              <w:t>, Warszawa 1925</w:t>
            </w:r>
          </w:p>
          <w:p w:rsidR="002227F1" w:rsidRPr="004E0ED4" w:rsidRDefault="002227F1" w:rsidP="006A2A8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2. S. Kutrzeba, </w:t>
            </w:r>
            <w:r w:rsidRPr="004E0ED4">
              <w:rPr>
                <w:i/>
                <w:sz w:val="20"/>
                <w:szCs w:val="20"/>
              </w:rPr>
              <w:t>Dawne polskie prawo sądowe w zarysie</w:t>
            </w:r>
            <w:r w:rsidRPr="004E0ED4">
              <w:rPr>
                <w:sz w:val="20"/>
                <w:szCs w:val="20"/>
              </w:rPr>
              <w:t>, Lwów – Warszawa – Kraków 1921</w:t>
            </w:r>
          </w:p>
          <w:p w:rsidR="002227F1" w:rsidRPr="004E0ED4" w:rsidRDefault="002227F1" w:rsidP="006A2A84">
            <w:pPr>
              <w:pStyle w:val="Akapitzlist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4E0ED4">
              <w:rPr>
                <w:sz w:val="20"/>
                <w:szCs w:val="20"/>
              </w:rPr>
              <w:t xml:space="preserve">3. O. Balzer, </w:t>
            </w:r>
            <w:r w:rsidRPr="004E0ED4">
              <w:rPr>
                <w:i/>
                <w:sz w:val="20"/>
                <w:szCs w:val="20"/>
              </w:rPr>
              <w:t xml:space="preserve">Przewód sądowy polski w zarysie, </w:t>
            </w:r>
            <w:r w:rsidRPr="004E0ED4">
              <w:rPr>
                <w:sz w:val="20"/>
                <w:szCs w:val="20"/>
              </w:rPr>
              <w:t>Lwów 1935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color w:val="FF0000"/>
                <w:sz w:val="20"/>
                <w:szCs w:val="20"/>
              </w:rPr>
            </w:pPr>
            <w:r w:rsidRPr="004E0ED4">
              <w:rPr>
                <w:color w:val="FF0000"/>
                <w:sz w:val="20"/>
                <w:szCs w:val="20"/>
              </w:rPr>
              <w:t>Metody i kryteria oceniania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spacing w:before="60" w:after="60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>Metody oceniania:</w:t>
            </w:r>
          </w:p>
          <w:p w:rsidR="002227F1" w:rsidRPr="004E0ED4" w:rsidRDefault="002227F1" w:rsidP="006A2A84">
            <w:pPr>
              <w:spacing w:before="60" w:after="60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na podstawie 2 napisanych esejów na zaproponowane tematy</w:t>
            </w:r>
          </w:p>
          <w:p w:rsidR="002227F1" w:rsidRPr="004E0ED4" w:rsidRDefault="002227F1" w:rsidP="006A2A84">
            <w:pPr>
              <w:spacing w:before="60" w:after="60"/>
              <w:rPr>
                <w:iCs/>
                <w:sz w:val="20"/>
                <w:szCs w:val="20"/>
              </w:rPr>
            </w:pPr>
            <w:r w:rsidRPr="004E0ED4">
              <w:rPr>
                <w:iCs/>
                <w:sz w:val="20"/>
                <w:szCs w:val="20"/>
              </w:rPr>
              <w:t>- obecność na zajęciach</w:t>
            </w:r>
          </w:p>
          <w:p w:rsidR="002227F1" w:rsidRPr="004E0ED4" w:rsidRDefault="002227F1" w:rsidP="006A2A84">
            <w:pPr>
              <w:spacing w:before="60" w:after="60"/>
              <w:rPr>
                <w:b/>
                <w:iCs/>
                <w:sz w:val="20"/>
                <w:szCs w:val="20"/>
                <w:u w:val="single"/>
              </w:rPr>
            </w:pPr>
            <w:r w:rsidRPr="004E0ED4">
              <w:rPr>
                <w:b/>
                <w:iCs/>
                <w:sz w:val="20"/>
                <w:szCs w:val="20"/>
                <w:u w:val="single"/>
              </w:rPr>
              <w:t xml:space="preserve">Kryteria oceniania: </w:t>
            </w:r>
          </w:p>
          <w:p w:rsidR="002227F1" w:rsidRPr="004E0ED4" w:rsidRDefault="002227F1" w:rsidP="006A2A84">
            <w:pPr>
              <w:spacing w:before="120"/>
              <w:ind w:left="1"/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-  zaliczenie na ocenę według regulaminu studiów UMK</w:t>
            </w:r>
          </w:p>
          <w:p w:rsidR="002227F1" w:rsidRPr="004E0ED4" w:rsidRDefault="002227F1" w:rsidP="002227F1">
            <w:pPr>
              <w:numPr>
                <w:ilvl w:val="0"/>
                <w:numId w:val="7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75% oceny to eseje, 25 % - obecność na z</w:t>
            </w:r>
            <w:r w:rsidRPr="004E0ED4">
              <w:rPr>
                <w:sz w:val="20"/>
                <w:szCs w:val="20"/>
              </w:rPr>
              <w:t>a</w:t>
            </w:r>
            <w:r w:rsidRPr="004E0ED4">
              <w:rPr>
                <w:sz w:val="20"/>
                <w:szCs w:val="20"/>
              </w:rPr>
              <w:t xml:space="preserve">jęciach </w:t>
            </w:r>
          </w:p>
          <w:p w:rsidR="002227F1" w:rsidRPr="004E0ED4" w:rsidRDefault="002227F1" w:rsidP="002227F1">
            <w:pPr>
              <w:numPr>
                <w:ilvl w:val="0"/>
                <w:numId w:val="7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Ocena </w:t>
            </w:r>
            <w:proofErr w:type="spellStart"/>
            <w:r w:rsidRPr="004E0ED4">
              <w:rPr>
                <w:sz w:val="20"/>
                <w:szCs w:val="20"/>
              </w:rPr>
              <w:t>dst</w:t>
            </w:r>
            <w:proofErr w:type="spellEnd"/>
            <w:r w:rsidRPr="004E0ED4">
              <w:rPr>
                <w:sz w:val="20"/>
                <w:szCs w:val="20"/>
              </w:rPr>
              <w:t xml:space="preserve">. – </w:t>
            </w:r>
            <w:proofErr w:type="spellStart"/>
            <w:r w:rsidRPr="004E0ED4">
              <w:rPr>
                <w:sz w:val="20"/>
                <w:szCs w:val="20"/>
              </w:rPr>
              <w:t>dst</w:t>
            </w:r>
            <w:proofErr w:type="spellEnd"/>
            <w:r w:rsidRPr="004E0ED4">
              <w:rPr>
                <w:sz w:val="20"/>
                <w:szCs w:val="20"/>
              </w:rPr>
              <w:t xml:space="preserve"> + - temat esejów opracowany w stopniu podstaw</w:t>
            </w:r>
            <w:r w:rsidRPr="004E0ED4">
              <w:rPr>
                <w:sz w:val="20"/>
                <w:szCs w:val="20"/>
              </w:rPr>
              <w:t>o</w:t>
            </w:r>
            <w:r w:rsidRPr="004E0ED4">
              <w:rPr>
                <w:sz w:val="20"/>
                <w:szCs w:val="20"/>
              </w:rPr>
              <w:t>wym</w:t>
            </w:r>
          </w:p>
          <w:p w:rsidR="002227F1" w:rsidRPr="004E0ED4" w:rsidRDefault="002227F1" w:rsidP="002227F1">
            <w:pPr>
              <w:numPr>
                <w:ilvl w:val="0"/>
                <w:numId w:val="7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Ocena  </w:t>
            </w:r>
            <w:proofErr w:type="spellStart"/>
            <w:r w:rsidRPr="004E0ED4">
              <w:rPr>
                <w:sz w:val="20"/>
                <w:szCs w:val="20"/>
              </w:rPr>
              <w:t>db</w:t>
            </w:r>
            <w:proofErr w:type="spellEnd"/>
            <w:r w:rsidRPr="004E0ED4">
              <w:rPr>
                <w:sz w:val="20"/>
                <w:szCs w:val="20"/>
              </w:rPr>
              <w:t xml:space="preserve"> – </w:t>
            </w:r>
            <w:proofErr w:type="spellStart"/>
            <w:r w:rsidRPr="004E0ED4">
              <w:rPr>
                <w:sz w:val="20"/>
                <w:szCs w:val="20"/>
              </w:rPr>
              <w:t>db</w:t>
            </w:r>
            <w:proofErr w:type="spellEnd"/>
            <w:r w:rsidRPr="004E0ED4">
              <w:rPr>
                <w:sz w:val="20"/>
                <w:szCs w:val="20"/>
              </w:rPr>
              <w:t>+  - temat esejów opracowany w stopniu zadowalaj</w:t>
            </w:r>
            <w:r w:rsidRPr="004E0ED4">
              <w:rPr>
                <w:sz w:val="20"/>
                <w:szCs w:val="20"/>
              </w:rPr>
              <w:t>ą</w:t>
            </w:r>
            <w:r w:rsidRPr="004E0ED4">
              <w:rPr>
                <w:sz w:val="20"/>
                <w:szCs w:val="20"/>
              </w:rPr>
              <w:t>cym</w:t>
            </w:r>
          </w:p>
          <w:p w:rsidR="002227F1" w:rsidRPr="004E0ED4" w:rsidRDefault="002227F1" w:rsidP="006A2A84">
            <w:pPr>
              <w:spacing w:after="90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Ocena </w:t>
            </w:r>
            <w:proofErr w:type="spellStart"/>
            <w:r w:rsidRPr="004E0ED4">
              <w:rPr>
                <w:sz w:val="20"/>
                <w:szCs w:val="20"/>
              </w:rPr>
              <w:t>bdb</w:t>
            </w:r>
            <w:proofErr w:type="spellEnd"/>
            <w:r w:rsidRPr="004E0ED4">
              <w:rPr>
                <w:sz w:val="20"/>
                <w:szCs w:val="20"/>
              </w:rPr>
              <w:t xml:space="preserve"> – temat esejów opracowany wyczerpująco</w:t>
            </w:r>
          </w:p>
        </w:tc>
      </w:tr>
      <w:tr w:rsidR="002227F1" w:rsidRPr="004E0ED4" w:rsidTr="006A2A84">
        <w:tc>
          <w:tcPr>
            <w:tcW w:w="2943" w:type="dxa"/>
            <w:shd w:val="clear" w:color="auto" w:fill="auto"/>
          </w:tcPr>
          <w:p w:rsidR="002227F1" w:rsidRPr="004E0ED4" w:rsidRDefault="002227F1" w:rsidP="006A2A84">
            <w:pPr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 xml:space="preserve"> Praktyki zawodowe </w:t>
            </w:r>
          </w:p>
        </w:tc>
        <w:tc>
          <w:tcPr>
            <w:tcW w:w="6269" w:type="dxa"/>
            <w:shd w:val="clear" w:color="auto" w:fill="auto"/>
          </w:tcPr>
          <w:p w:rsidR="002227F1" w:rsidRPr="004E0ED4" w:rsidRDefault="002227F1" w:rsidP="006A2A84">
            <w:pPr>
              <w:jc w:val="both"/>
              <w:rPr>
                <w:sz w:val="20"/>
                <w:szCs w:val="20"/>
              </w:rPr>
            </w:pPr>
            <w:r w:rsidRPr="004E0ED4">
              <w:rPr>
                <w:sz w:val="20"/>
                <w:szCs w:val="20"/>
              </w:rPr>
              <w:t>Nie dotyczy.</w:t>
            </w:r>
          </w:p>
        </w:tc>
      </w:tr>
    </w:tbl>
    <w:p w:rsidR="0037344A" w:rsidRDefault="0037344A"/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310"/>
    <w:multiLevelType w:val="hybridMultilevel"/>
    <w:tmpl w:val="3D7E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974"/>
    <w:multiLevelType w:val="hybridMultilevel"/>
    <w:tmpl w:val="A06A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4A9B"/>
    <w:multiLevelType w:val="hybridMultilevel"/>
    <w:tmpl w:val="E714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4C8F"/>
    <w:multiLevelType w:val="hybridMultilevel"/>
    <w:tmpl w:val="99282D62"/>
    <w:lvl w:ilvl="0" w:tplc="0415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DDE05EE"/>
    <w:multiLevelType w:val="hybridMultilevel"/>
    <w:tmpl w:val="5BEA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7BC0"/>
    <w:multiLevelType w:val="hybridMultilevel"/>
    <w:tmpl w:val="95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21CC"/>
    <w:multiLevelType w:val="hybridMultilevel"/>
    <w:tmpl w:val="9C841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96181"/>
    <w:multiLevelType w:val="hybridMultilevel"/>
    <w:tmpl w:val="A520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17712"/>
    <w:multiLevelType w:val="hybridMultilevel"/>
    <w:tmpl w:val="0D34C718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F1"/>
    <w:rsid w:val="002227F1"/>
    <w:rsid w:val="003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3FAC-A400-491F-922D-8BD245E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F1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2019-11-28T17:44:00Z</dcterms:created>
  <dcterms:modified xsi:type="dcterms:W3CDTF">2019-11-28T17:44:00Z</dcterms:modified>
</cp:coreProperties>
</file>