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BC3C" w14:textId="2A7E3E16" w:rsidR="0015258B" w:rsidRPr="00A03AB6" w:rsidRDefault="00A03AB6" w:rsidP="00A03AB6">
      <w:pPr>
        <w:spacing w:after="0"/>
        <w:jc w:val="both"/>
        <w:rPr>
          <w:rFonts w:ascii="Bookman Old Style" w:eastAsia="Times New Roman" w:hAnsi="Bookman Old Style" w:cs="Times New Roman"/>
          <w:b/>
          <w:color w:val="1F497D" w:themeColor="text2"/>
        </w:rPr>
      </w:pPr>
      <w:r w:rsidRPr="00A03AB6">
        <w:rPr>
          <w:rFonts w:ascii="Bookman Old Style" w:hAnsi="Bookman Old Style" w:cs="Toronto-Bold"/>
          <w:b/>
          <w:bCs/>
          <w:color w:val="1F497D" w:themeColor="text2"/>
        </w:rPr>
        <w:t>P</w:t>
      </w:r>
      <w:r w:rsidR="00C20453" w:rsidRPr="00A03AB6">
        <w:rPr>
          <w:rFonts w:ascii="Bookman Old Style" w:hAnsi="Bookman Old Style" w:cs="Toronto-Bold"/>
          <w:b/>
          <w:bCs/>
          <w:color w:val="1F497D" w:themeColor="text2"/>
        </w:rPr>
        <w:t xml:space="preserve">odpisywanie skargi składanej przez </w:t>
      </w:r>
      <w:proofErr w:type="spellStart"/>
      <w:r w:rsidR="00C20453" w:rsidRPr="00A03AB6">
        <w:rPr>
          <w:rFonts w:ascii="Bookman Old Style" w:hAnsi="Bookman Old Style" w:cs="Toronto-Bold"/>
          <w:b/>
          <w:bCs/>
          <w:color w:val="1F497D" w:themeColor="text2"/>
        </w:rPr>
        <w:t>ePUAP</w:t>
      </w:r>
      <w:proofErr w:type="spellEnd"/>
      <w:r w:rsidR="006F3772" w:rsidRPr="00A03AB6">
        <w:rPr>
          <w:rFonts w:ascii="Bookman Old Style" w:hAnsi="Bookman Old Style"/>
        </w:rPr>
        <w:t xml:space="preserve"> </w:t>
      </w:r>
      <w:r w:rsidR="0015258B" w:rsidRPr="00A03AB6">
        <w:rPr>
          <w:rFonts w:ascii="Bookman Old Style" w:hAnsi="Bookman Old Style" w:cs="Toronto-Bold"/>
          <w:b/>
          <w:bCs/>
          <w:color w:val="1F497D" w:themeColor="text2"/>
        </w:rPr>
        <w:t xml:space="preserve">- </w:t>
      </w:r>
      <w:r w:rsidR="00C20453" w:rsidRPr="00A03AB6">
        <w:rPr>
          <w:rFonts w:ascii="Bookman Old Style" w:hAnsi="Bookman Old Style" w:cs="Toronto-Bold"/>
          <w:b/>
          <w:bCs/>
          <w:color w:val="1F497D" w:themeColor="text2"/>
        </w:rPr>
        <w:t xml:space="preserve">doradca podatkowy Alicja Sarna, SSW </w:t>
      </w:r>
      <w:proofErr w:type="spellStart"/>
      <w:r w:rsidR="00C20453" w:rsidRPr="00A03AB6">
        <w:rPr>
          <w:rFonts w:ascii="Bookman Old Style" w:hAnsi="Bookman Old Style" w:cs="Toronto-Bold"/>
          <w:b/>
          <w:bCs/>
          <w:color w:val="1F497D" w:themeColor="text2"/>
        </w:rPr>
        <w:t>Pragmatic</w:t>
      </w:r>
      <w:proofErr w:type="spellEnd"/>
      <w:r w:rsidR="00C20453" w:rsidRPr="00A03AB6">
        <w:rPr>
          <w:rFonts w:ascii="Bookman Old Style" w:hAnsi="Bookman Old Style" w:cs="Toronto-Bold"/>
          <w:b/>
          <w:bCs/>
          <w:color w:val="1F497D" w:themeColor="text2"/>
        </w:rPr>
        <w:t xml:space="preserve"> Solutions</w:t>
      </w:r>
      <w:r w:rsidR="0015258B" w:rsidRPr="00A03AB6">
        <w:rPr>
          <w:rFonts w:ascii="Bookman Old Style" w:hAnsi="Bookman Old Style" w:cs="Toronto-Bold"/>
          <w:b/>
          <w:bCs/>
          <w:color w:val="1F497D" w:themeColor="text2"/>
        </w:rPr>
        <w:t xml:space="preserve"> </w:t>
      </w:r>
    </w:p>
    <w:p w14:paraId="49051BD8" w14:textId="77777777" w:rsidR="0015258B" w:rsidRPr="00A03AB6" w:rsidRDefault="0015258B" w:rsidP="00A03AB6">
      <w:pPr>
        <w:spacing w:after="0"/>
        <w:jc w:val="both"/>
        <w:rPr>
          <w:rFonts w:ascii="Bookman Old Style" w:eastAsia="Times New Roman" w:hAnsi="Bookman Old Style" w:cs="Times New Roman"/>
          <w:b/>
          <w:color w:val="FF0000"/>
          <w:lang w:eastAsia="pl-PL"/>
        </w:rPr>
      </w:pPr>
    </w:p>
    <w:p w14:paraId="640A0356" w14:textId="4A6CD788" w:rsidR="00254C3C" w:rsidRPr="00A03AB6" w:rsidRDefault="00C20453" w:rsidP="00A03AB6">
      <w:pPr>
        <w:spacing w:after="0"/>
        <w:jc w:val="both"/>
        <w:rPr>
          <w:rFonts w:ascii="Bookman Old Style" w:eastAsia="Times New Roman" w:hAnsi="Bookman Old Style" w:cs="Times New Roman"/>
          <w:b/>
          <w:color w:val="1F497D" w:themeColor="text2"/>
        </w:rPr>
      </w:pPr>
      <w:r w:rsidRPr="00A03AB6">
        <w:rPr>
          <w:rFonts w:ascii="Bookman Old Style" w:eastAsia="Times New Roman" w:hAnsi="Bookman Old Style" w:cs="Times New Roman"/>
          <w:b/>
          <w:color w:val="FF0000"/>
          <w:lang w:eastAsia="pl-PL"/>
        </w:rPr>
        <w:t xml:space="preserve">Uchwała </w:t>
      </w:r>
      <w:r w:rsidR="00254C3C" w:rsidRPr="00A03AB6">
        <w:rPr>
          <w:rFonts w:ascii="Bookman Old Style" w:eastAsia="Times New Roman" w:hAnsi="Bookman Old Style" w:cs="Times New Roman"/>
          <w:b/>
          <w:color w:val="FF0000"/>
          <w:lang w:eastAsia="pl-PL"/>
        </w:rPr>
        <w:t xml:space="preserve">NSA z </w:t>
      </w:r>
      <w:r w:rsidRPr="00A03AB6">
        <w:rPr>
          <w:rFonts w:ascii="Bookman Old Style" w:eastAsia="Times New Roman" w:hAnsi="Bookman Old Style" w:cs="Times New Roman"/>
          <w:b/>
          <w:color w:val="FF0000"/>
          <w:lang w:eastAsia="pl-PL"/>
        </w:rPr>
        <w:t>6 grudnia 2021</w:t>
      </w:r>
      <w:r w:rsidR="00254C3C" w:rsidRPr="00A03AB6">
        <w:rPr>
          <w:rFonts w:ascii="Bookman Old Style" w:eastAsia="Times New Roman" w:hAnsi="Bookman Old Style" w:cs="Times New Roman"/>
          <w:b/>
          <w:color w:val="FF0000"/>
          <w:lang w:eastAsia="pl-PL"/>
        </w:rPr>
        <w:t xml:space="preserve"> r</w:t>
      </w:r>
      <w:r w:rsidR="00177445" w:rsidRPr="00A03AB6">
        <w:rPr>
          <w:rFonts w:ascii="Bookman Old Style" w:eastAsia="Times New Roman" w:hAnsi="Bookman Old Style" w:cs="Times New Roman"/>
          <w:b/>
          <w:color w:val="FF0000"/>
          <w:lang w:eastAsia="pl-PL"/>
        </w:rPr>
        <w:t>.,</w:t>
      </w:r>
      <w:r w:rsidR="00254C3C" w:rsidRPr="00A03AB6">
        <w:rPr>
          <w:rFonts w:ascii="Bookman Old Style" w:eastAsia="Times New Roman" w:hAnsi="Bookman Old Style" w:cs="Times New Roman"/>
          <w:b/>
          <w:color w:val="FF0000"/>
          <w:lang w:eastAsia="pl-PL"/>
        </w:rPr>
        <w:t xml:space="preserve"> </w:t>
      </w:r>
      <w:r w:rsidRPr="00A03AB6">
        <w:rPr>
          <w:rFonts w:ascii="Bookman Old Style" w:eastAsia="Times New Roman" w:hAnsi="Bookman Old Style" w:cs="Times New Roman"/>
          <w:b/>
          <w:color w:val="FF0000"/>
          <w:lang w:eastAsia="pl-PL"/>
        </w:rPr>
        <w:t>I FPS 2/21</w:t>
      </w:r>
    </w:p>
    <w:p w14:paraId="1B05DEF0" w14:textId="73FB8D7B" w:rsidR="00C20453" w:rsidRPr="00A03AB6" w:rsidRDefault="00C20453" w:rsidP="00A03AB6">
      <w:pPr>
        <w:spacing w:after="0"/>
        <w:jc w:val="both"/>
        <w:rPr>
          <w:rFonts w:ascii="Bookman Old Style" w:eastAsia="Times New Roman" w:hAnsi="Bookman Old Style" w:cs="Times New Roman"/>
          <w:b/>
          <w:lang w:eastAsia="pl-PL"/>
        </w:rPr>
      </w:pPr>
      <w:r w:rsidRPr="00A03AB6">
        <w:rPr>
          <w:rFonts w:ascii="Bookman Old Style" w:eastAsia="Times New Roman" w:hAnsi="Bookman Old Style" w:cs="Times New Roman"/>
          <w:b/>
          <w:lang w:eastAsia="pl-PL"/>
        </w:rPr>
        <w:t xml:space="preserve">Zgodnie z art. 57 § 1 w zw. z art. 46 § 1 pkt 4 oraz art. 12b § 1 i art. 46 § 2a i 2b </w:t>
      </w:r>
      <w:proofErr w:type="spellStart"/>
      <w:r w:rsidRPr="00A03AB6">
        <w:rPr>
          <w:rFonts w:ascii="Bookman Old Style" w:eastAsia="Times New Roman" w:hAnsi="Bookman Old Style" w:cs="Times New Roman"/>
          <w:b/>
          <w:lang w:eastAsia="pl-PL"/>
        </w:rPr>
        <w:t>p.p.s.a</w:t>
      </w:r>
      <w:proofErr w:type="spellEnd"/>
      <w:r w:rsidRPr="00A03AB6">
        <w:rPr>
          <w:rFonts w:ascii="Bookman Old Style" w:eastAsia="Times New Roman" w:hAnsi="Bookman Old Style" w:cs="Times New Roman"/>
          <w:b/>
          <w:lang w:eastAsia="pl-PL"/>
        </w:rPr>
        <w:t xml:space="preserve">., skargę stanowiącą załącznik do formularza pisma ogólnego, podpisanego podpisem zaufanym, przesłanego przez platformę </w:t>
      </w:r>
      <w:proofErr w:type="spellStart"/>
      <w:r w:rsidRPr="00A03AB6">
        <w:rPr>
          <w:rFonts w:ascii="Bookman Old Style" w:eastAsia="Times New Roman" w:hAnsi="Bookman Old Style" w:cs="Times New Roman"/>
          <w:b/>
          <w:lang w:eastAsia="pl-PL"/>
        </w:rPr>
        <w:t>ePUAP</w:t>
      </w:r>
      <w:proofErr w:type="spellEnd"/>
      <w:r w:rsidRPr="00A03AB6">
        <w:rPr>
          <w:rFonts w:ascii="Bookman Old Style" w:eastAsia="Times New Roman" w:hAnsi="Bookman Old Style" w:cs="Times New Roman"/>
          <w:b/>
          <w:lang w:eastAsia="pl-PL"/>
        </w:rPr>
        <w:t>, należy uznać za podpisaną jedynie wówczas, gdy została ona odrębnie podpisana podpisem kwalifikowanym, podpisem zaufanym albo podpisem osobistym.</w:t>
      </w:r>
    </w:p>
    <w:p w14:paraId="7376B0B1" w14:textId="77777777" w:rsidR="0015258B" w:rsidRPr="00A03AB6" w:rsidRDefault="0015258B" w:rsidP="00A03AB6">
      <w:pPr>
        <w:spacing w:after="0"/>
        <w:jc w:val="both"/>
        <w:rPr>
          <w:rFonts w:ascii="Bookman Old Style" w:eastAsia="Times New Roman" w:hAnsi="Bookman Old Style" w:cs="Times New Roman"/>
          <w:b/>
          <w:color w:val="FF0000"/>
          <w:lang w:eastAsia="pl-PL"/>
        </w:rPr>
      </w:pPr>
    </w:p>
    <w:p w14:paraId="2B657D66" w14:textId="77777777" w:rsidR="00254C3C" w:rsidRPr="00A03AB6" w:rsidRDefault="00254C3C"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color w:val="FF0000"/>
          <w:lang w:eastAsia="pl-PL"/>
        </w:rPr>
        <w:t>Najważniejsze fragmenty uzasadnienia wyroku</w:t>
      </w:r>
    </w:p>
    <w:p w14:paraId="31AC5FB3"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skargę do sądu administracyjnego można wnieść za pośrednictwem elektronicznej skrzynki podawczej na kilka sposobów.</w:t>
      </w:r>
    </w:p>
    <w:p w14:paraId="3CE02108" w14:textId="77777777" w:rsidR="00280A00" w:rsidRPr="00A03AB6" w:rsidRDefault="00280A00" w:rsidP="00A03AB6">
      <w:pPr>
        <w:spacing w:after="0"/>
        <w:jc w:val="both"/>
        <w:rPr>
          <w:rFonts w:ascii="Bookman Old Style" w:eastAsia="Times New Roman" w:hAnsi="Bookman Old Style" w:cs="Times New Roman"/>
          <w:lang w:eastAsia="pl-PL"/>
        </w:rPr>
      </w:pPr>
    </w:p>
    <w:p w14:paraId="7D6002EC"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Sposobem, który nie budzi wątpliwości jest umieszczenie treści pisma (w szczególności skargi) bezpośrednio w formularzu pisma ogólnego, które generowane jest w systemie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oraz podpisanie tego pisma jednym z akceptowanych przez ustawodawcę podpisów elektronicznych (kwalifikowanym, zaufanym albo osobistym). W takim przypadku treść skargi zawarta jest bezpośrednio w podpisanym piśmie ogólnym (przewodnim).</w:t>
      </w:r>
    </w:p>
    <w:p w14:paraId="675D21D3" w14:textId="77777777" w:rsidR="00280A00" w:rsidRPr="00A03AB6" w:rsidRDefault="00280A00" w:rsidP="00A03AB6">
      <w:pPr>
        <w:spacing w:after="0"/>
        <w:jc w:val="both"/>
        <w:rPr>
          <w:rFonts w:ascii="Bookman Old Style" w:eastAsia="Times New Roman" w:hAnsi="Bookman Old Style" w:cs="Times New Roman"/>
          <w:lang w:eastAsia="pl-PL"/>
        </w:rPr>
      </w:pPr>
    </w:p>
    <w:p w14:paraId="7AE792DC"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Drugim ze sposobów wniesienia skargi jest załączenie do podpisanego pisma ogólnego (przewodniego) odrębnego pliku zawierającego treść środka prawnego skierowanego do wojewódzkiego sądu administracyjnego. W tym przypadku możliwe jest oddzielne podpisanie podpisem elektronicznym pisma ogólnego (przewodniego) i załącznika zawierającego skargę do sądu, przy czym podpisanie podpisem zaufanym załącznika (skargi) nie jest możliwe bezpośrednio w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a za pośrednictwem odrębnej usługi w domenie gov.pl, tzw. </w:t>
      </w:r>
      <w:proofErr w:type="spellStart"/>
      <w:r w:rsidRPr="00A03AB6">
        <w:rPr>
          <w:rFonts w:ascii="Bookman Old Style" w:eastAsia="Times New Roman" w:hAnsi="Bookman Old Style" w:cs="Times New Roman"/>
          <w:lang w:eastAsia="pl-PL"/>
        </w:rPr>
        <w:t>Podpisywarki</w:t>
      </w:r>
      <w:proofErr w:type="spellEnd"/>
      <w:r w:rsidRPr="00A03AB6">
        <w:rPr>
          <w:rFonts w:ascii="Bookman Old Style" w:eastAsia="Times New Roman" w:hAnsi="Bookman Old Style" w:cs="Times New Roman"/>
          <w:lang w:eastAsia="pl-PL"/>
        </w:rPr>
        <w:t>.</w:t>
      </w:r>
    </w:p>
    <w:p w14:paraId="20FA01C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3221F818"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7.9. Przed przedstawieniem argumentów prawnych, przemawiających za stanowiskiem, że dla podpisania pisma stanowiącego załącznik do podpisanego formularza pisma ogólnego, w ramach profilu zaufanego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konieczne jest odrębne podpisanie tego załącznika, należy zwrócić uwagę na kwestie techniczne.</w:t>
      </w:r>
    </w:p>
    <w:p w14:paraId="5C37864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592788FE"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Podpis, jakim opatruje się pismo ogólne, jest to tak zwany podpis otoczony (wewnętrzny) w formacie </w:t>
      </w:r>
      <w:proofErr w:type="spellStart"/>
      <w:r w:rsidRPr="00A03AB6">
        <w:rPr>
          <w:rFonts w:ascii="Bookman Old Style" w:eastAsia="Times New Roman" w:hAnsi="Bookman Old Style" w:cs="Times New Roman"/>
          <w:lang w:eastAsia="pl-PL"/>
        </w:rPr>
        <w:t>XAdES</w:t>
      </w:r>
      <w:proofErr w:type="spellEnd"/>
      <w:r w:rsidRPr="00A03AB6">
        <w:rPr>
          <w:rFonts w:ascii="Bookman Old Style" w:eastAsia="Times New Roman" w:hAnsi="Bookman Old Style" w:cs="Times New Roman"/>
          <w:lang w:eastAsia="pl-PL"/>
        </w:rPr>
        <w:t>, co oznacza, że sporządzony za pomocą wskazanych formularzy, podpisany plik jest w formacie XML, a podpis znajduje się wewnątrz tego pliku. Podpis taki, mimo że znajduje się wewnątrz podpisanego pliku XML obejmuje jednocześnie nie tylko treść pliku XML, w którym się znajduje, ale dodatkowo także treść wszystkich załączonych do tego pliku załączników znajdujących się w odrębnych plikach, jeżeli zostały dołączone do pisma ogólnego za pomocą wskazanych usług.</w:t>
      </w:r>
    </w:p>
    <w:p w14:paraId="5CBF5662" w14:textId="77777777" w:rsidR="00280A00" w:rsidRPr="00A03AB6" w:rsidRDefault="00280A00" w:rsidP="00A03AB6">
      <w:pPr>
        <w:spacing w:after="0"/>
        <w:jc w:val="both"/>
        <w:rPr>
          <w:rFonts w:ascii="Bookman Old Style" w:eastAsia="Times New Roman" w:hAnsi="Bookman Old Style" w:cs="Times New Roman"/>
          <w:lang w:eastAsia="pl-PL"/>
        </w:rPr>
      </w:pPr>
    </w:p>
    <w:p w14:paraId="3361CCD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Zastosowane na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rozwiązanie technologiczne (pozwalające objąć podpisem zaufanym, wpisanym do wewnątrz pliku XML pliki załączone do pisma ogólnego) nie wynika wprost z przepisów prawa, ale z norm technicznych określających strukturę </w:t>
      </w:r>
      <w:r w:rsidRPr="00A03AB6">
        <w:rPr>
          <w:rFonts w:ascii="Bookman Old Style" w:eastAsia="Times New Roman" w:hAnsi="Bookman Old Style" w:cs="Times New Roman"/>
          <w:lang w:eastAsia="pl-PL"/>
        </w:rPr>
        <w:lastRenderedPageBreak/>
        <w:t xml:space="preserve">podpisu w formacie </w:t>
      </w:r>
      <w:proofErr w:type="spellStart"/>
      <w:r w:rsidRPr="00A03AB6">
        <w:rPr>
          <w:rFonts w:ascii="Bookman Old Style" w:eastAsia="Times New Roman" w:hAnsi="Bookman Old Style" w:cs="Times New Roman"/>
          <w:lang w:eastAsia="pl-PL"/>
        </w:rPr>
        <w:t>XAdES</w:t>
      </w:r>
      <w:proofErr w:type="spellEnd"/>
      <w:r w:rsidRPr="00A03AB6">
        <w:rPr>
          <w:rFonts w:ascii="Bookman Old Style" w:eastAsia="Times New Roman" w:hAnsi="Bookman Old Style" w:cs="Times New Roman"/>
          <w:lang w:eastAsia="pl-PL"/>
        </w:rPr>
        <w:t xml:space="preserve"> wydanych przez Europejski Instytut Norm Telekomunikacyjnych (ETSI).</w:t>
      </w:r>
    </w:p>
    <w:p w14:paraId="49FC0269" w14:textId="77777777" w:rsidR="00280A00" w:rsidRPr="00A03AB6" w:rsidRDefault="00280A00" w:rsidP="00A03AB6">
      <w:pPr>
        <w:spacing w:after="0"/>
        <w:jc w:val="both"/>
        <w:rPr>
          <w:rFonts w:ascii="Bookman Old Style" w:eastAsia="Times New Roman" w:hAnsi="Bookman Old Style" w:cs="Times New Roman"/>
          <w:lang w:eastAsia="pl-PL"/>
        </w:rPr>
      </w:pPr>
    </w:p>
    <w:p w14:paraId="63F559B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Podpis zaufany zgodnie z ustawy o informatyzacji to podpis, którego autentyczność i integralność są zapewniane przy użyciu pieczęci elektronicznej ministra właściwego do spraw informatyzacji. Do zapewnienia tej integralności zastosowano zaawansowaną pieczęć elektroniczną weryfikowaną za pomocą kwalifikowanego certyfikatu pieczęci elektronicznej.</w:t>
      </w:r>
    </w:p>
    <w:p w14:paraId="567FF768" w14:textId="77777777" w:rsidR="00280A00" w:rsidRPr="00A03AB6" w:rsidRDefault="00280A00" w:rsidP="00A03AB6">
      <w:pPr>
        <w:spacing w:after="0"/>
        <w:jc w:val="both"/>
        <w:rPr>
          <w:rFonts w:ascii="Bookman Old Style" w:eastAsia="Times New Roman" w:hAnsi="Bookman Old Style" w:cs="Times New Roman"/>
          <w:lang w:eastAsia="pl-PL"/>
        </w:rPr>
      </w:pPr>
    </w:p>
    <w:p w14:paraId="06432B8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Zatem mając na względzie zasady wnoszenia pism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zarówno pismo ogólne, jak i załączoną do niego skargę można uznać za podpisane podpisem zaufanym jedynie w znaczeniu technicznym, co potwierdza instrukcja do tej platformy. Nie oznacza to jednak, że mamy do czynienia z dokumentami elektronicznymi zawierającymi prawnie skuteczny podpis. Ponadto, nie ulega wątpliwości, że wyodrębnienie pliku załącznika z dokumentu XML pozbawia ten załącznik waloru podpisanego dokumentu elektronicznego.</w:t>
      </w:r>
    </w:p>
    <w:p w14:paraId="59E965E1" w14:textId="77777777" w:rsidR="00280A00" w:rsidRPr="00A03AB6" w:rsidRDefault="00280A00" w:rsidP="00A03AB6">
      <w:pPr>
        <w:spacing w:after="0"/>
        <w:jc w:val="both"/>
        <w:rPr>
          <w:rFonts w:ascii="Bookman Old Style" w:eastAsia="Times New Roman" w:hAnsi="Bookman Old Style" w:cs="Times New Roman"/>
          <w:lang w:eastAsia="pl-PL"/>
        </w:rPr>
      </w:pPr>
    </w:p>
    <w:p w14:paraId="69F65D6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7.10. Istotnym argumentem przemawiającym za przyjęciem tego, że wniesienie skargi za pomocą środków komunikacji elektronicznej wymaga odrębnego podpisania jest to, że w sytuacji rozłączenia jej od formularza pisma ogólnego traci ona walor dokumentu elektronicznego podpisanego. Byłoby to niezgodne z obowiązującym </w:t>
      </w:r>
      <w:hyperlink r:id="rId7" w:anchor="/document/68451698?cm=DOCUMENT" w:history="1">
        <w:r w:rsidRPr="00A03AB6">
          <w:rPr>
            <w:rFonts w:ascii="Bookman Old Style" w:eastAsia="Times New Roman" w:hAnsi="Bookman Old Style" w:cs="Times New Roman"/>
            <w:lang w:eastAsia="pl-PL"/>
          </w:rPr>
          <w:t>rozporządzeniem</w:t>
        </w:r>
      </w:hyperlink>
      <w:r w:rsidRPr="00A03AB6">
        <w:rPr>
          <w:rFonts w:ascii="Bookman Old Style" w:eastAsia="Times New Roman" w:hAnsi="Bookman Old Style" w:cs="Times New Roman"/>
          <w:lang w:eastAsia="pl-PL"/>
        </w:rPr>
        <w:t> Parlamentu Europejskiego i Rady (UE) nr 910/2014 z dnia 23 lipca 2014 r. w sprawie identyfikacji elektronicznej i usług zaufania w odniesieniu do transakcji elektronicznych na rynku wewnętrznym oraz uchylające </w:t>
      </w:r>
      <w:hyperlink r:id="rId8" w:anchor="/document/67427567?cm=DOCUMENT" w:history="1">
        <w:r w:rsidRPr="00A03AB6">
          <w:rPr>
            <w:rFonts w:ascii="Bookman Old Style" w:eastAsia="Times New Roman" w:hAnsi="Bookman Old Style" w:cs="Times New Roman"/>
            <w:lang w:eastAsia="pl-PL"/>
          </w:rPr>
          <w:t>dyrektywę</w:t>
        </w:r>
      </w:hyperlink>
      <w:r w:rsidRPr="00A03AB6">
        <w:rPr>
          <w:rFonts w:ascii="Bookman Old Style" w:eastAsia="Times New Roman" w:hAnsi="Bookman Old Style" w:cs="Times New Roman"/>
          <w:lang w:eastAsia="pl-PL"/>
        </w:rPr>
        <w:t> 1999/93/WE (</w:t>
      </w:r>
      <w:proofErr w:type="spellStart"/>
      <w:r w:rsidRPr="00A03AB6">
        <w:rPr>
          <w:rFonts w:ascii="Bookman Old Style" w:eastAsia="Times New Roman" w:hAnsi="Bookman Old Style" w:cs="Times New Roman"/>
          <w:lang w:eastAsia="pl-PL"/>
        </w:rPr>
        <w:t>Dz.U.UE</w:t>
      </w:r>
      <w:proofErr w:type="spellEnd"/>
      <w:r w:rsidRPr="00A03AB6">
        <w:rPr>
          <w:rFonts w:ascii="Bookman Old Style" w:eastAsia="Times New Roman" w:hAnsi="Bookman Old Style" w:cs="Times New Roman"/>
          <w:lang w:eastAsia="pl-PL"/>
        </w:rPr>
        <w:t>. L. z 2014 r. Nr 257, str. 73). Z punktu 61 preambuły do tego rozporządzenia wynika, że musi zostać zapewniona długoterminowa konserwacja informacji w celu zapewnienia prawnej ważności podpisów elektronicznych i pieczęci elektronicznych przez wydłużone okresy oraz zagwarantowana możliwość ich walidacji bez względu na przyszłe zmiany technologiczne.</w:t>
      </w:r>
    </w:p>
    <w:p w14:paraId="2B6A0B24" w14:textId="77777777" w:rsidR="00280A00" w:rsidRPr="00A03AB6" w:rsidRDefault="00280A00" w:rsidP="00A03AB6">
      <w:pPr>
        <w:spacing w:after="0"/>
        <w:jc w:val="both"/>
        <w:rPr>
          <w:rFonts w:ascii="Bookman Old Style" w:eastAsia="Times New Roman" w:hAnsi="Bookman Old Style" w:cs="Times New Roman"/>
          <w:lang w:eastAsia="pl-PL"/>
        </w:rPr>
      </w:pPr>
    </w:p>
    <w:p w14:paraId="1E3A2BF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Zgodnie z powyższym, niedopuszczalna jest sytuacja, by po rozłączeniu załącznika od pisma ogólnego nie zachował on żadnej ważności. Tak by się stało, gdyby załącznik do pisma ogólnego nie posiadał odrębnego podpisu.</w:t>
      </w:r>
    </w:p>
    <w:p w14:paraId="38B45115" w14:textId="77777777" w:rsidR="00280A00" w:rsidRPr="00A03AB6" w:rsidRDefault="00280A00" w:rsidP="00A03AB6">
      <w:pPr>
        <w:spacing w:after="0"/>
        <w:jc w:val="both"/>
        <w:rPr>
          <w:rFonts w:ascii="Bookman Old Style" w:eastAsia="Times New Roman" w:hAnsi="Bookman Old Style" w:cs="Times New Roman"/>
          <w:lang w:eastAsia="pl-PL"/>
        </w:rPr>
      </w:pPr>
    </w:p>
    <w:p w14:paraId="789763A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7.11. Wykładnia </w:t>
      </w:r>
      <w:hyperlink r:id="rId9" w:anchor="/document/16982717?unitId=art(46)par(2(a))&amp;cm=DOCUMENT" w:history="1">
        <w:r w:rsidRPr="00A03AB6">
          <w:rPr>
            <w:rFonts w:ascii="Bookman Old Style" w:eastAsia="Times New Roman" w:hAnsi="Bookman Old Style" w:cs="Times New Roman"/>
            <w:lang w:eastAsia="pl-PL"/>
          </w:rPr>
          <w:t>art. 46 § 2a</w:t>
        </w:r>
      </w:hyperlink>
      <w:r w:rsidRPr="00A03AB6">
        <w:rPr>
          <w:rFonts w:ascii="Bookman Old Style" w:eastAsia="Times New Roman" w:hAnsi="Bookman Old Style" w:cs="Times New Roman"/>
          <w:lang w:eastAsia="pl-PL"/>
        </w:rPr>
        <w:t xml:space="preserve"> i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musi uwzględniać zasady komunikacji elektronicznej określone w przepisach powołanej ustawy. I tak zgodnie z </w:t>
      </w:r>
      <w:hyperlink r:id="rId10" w:anchor="/document/16982717?unitId=art(12(b))par(1)&amp;cm=DOCUMENT" w:history="1">
        <w:r w:rsidRPr="00A03AB6">
          <w:rPr>
            <w:rFonts w:ascii="Bookman Old Style" w:eastAsia="Times New Roman" w:hAnsi="Bookman Old Style" w:cs="Times New Roman"/>
            <w:lang w:eastAsia="pl-PL"/>
          </w:rPr>
          <w:t>art. 12b § 1</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określony w ustawie warunek formy pisemnej uważa się za zachowany, jeżeli dokument elektroniczny został podpisany w sposób, o którym mowa w art. 46 § 2a.</w:t>
      </w:r>
    </w:p>
    <w:p w14:paraId="62D5D886" w14:textId="77777777" w:rsidR="00280A00" w:rsidRPr="00A03AB6" w:rsidRDefault="00280A00" w:rsidP="00A03AB6">
      <w:pPr>
        <w:spacing w:after="0"/>
        <w:jc w:val="both"/>
        <w:rPr>
          <w:rFonts w:ascii="Bookman Old Style" w:eastAsia="Times New Roman" w:hAnsi="Bookman Old Style" w:cs="Times New Roman"/>
          <w:lang w:eastAsia="pl-PL"/>
        </w:rPr>
      </w:pPr>
    </w:p>
    <w:p w14:paraId="40E07FFF"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świetle ustawy o informatyzacji dokumentem elektronicznym jest stanowiący odrębną całość znaczeniową zbiór danych uporządkowanych w określonej strukturze wewnętrznej i zapisany na materiale lub urządzeniu służącym do zapisywania, przechowywania i odczytywania danych w postaci cyfrowej (art. 3 pkt 2 w zw. z art. 3 pkt 1). Przez treść tego dokumentu należy rozumieć stanowiący odrębną całość znaczeniową zbiór danych uporządkowanych w określonej strukturze wewnętrznej. </w:t>
      </w:r>
      <w:r w:rsidRPr="00A03AB6">
        <w:rPr>
          <w:rFonts w:ascii="Bookman Old Style" w:eastAsia="Times New Roman" w:hAnsi="Bookman Old Style" w:cs="Times New Roman"/>
          <w:lang w:eastAsia="pl-PL"/>
        </w:rPr>
        <w:lastRenderedPageBreak/>
        <w:t>Tym samym treść, jako zbiór danych, musi spełniać wymagania ustawowe, tj. stanowić odrębną całość znaczeniową oraz być uporządkowana w określonej strukturze wewnętrznej. Ponadto ten zbiór danych powinien zostać zapisany na materiale lub urządzeniu służącym do zapisywania, przechowywania i odczytywania danych w postaci cyfrowej, czyli informatycznym nośniku danych (B. Kwiatek, Dokument elektroniczny w ogólnym postępowaniu administracyjnym, s. 110-118 Rozdział II, punkt 2.2.2.2. Wymagania stawiane dokumentowi elektronicznemu na gruncie ustawy o informatyzacji działalności podmiotów realizujących zadania publiczne, Warszawa 2020).</w:t>
      </w:r>
    </w:p>
    <w:p w14:paraId="7F9B2204"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7D74DF1F"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Pismo ogólne zawierające wyłącznie informację o załączonej do tego pisma niepodpisanej skardze nie jest odrębnym zbiorem danych zawierającym całość znaczeniową komunikatu kierowanego do sądu administracyjnego. Komunikat o merytorycznej treści zawiera natomiast, stanowiąca załącznik do tego pisma, skarga. W omawianym przypadku zasadnicza część znaczeniowa tego komunikatu zawarta jest bowiem poza dokumentem elektronicznym - pismem przewodnim - podpisanym podpisem elektronicznym i w ten sposób usankcjonowanym przez stronę (podobnie NSA w postanowieniach: z 16 marca 2021 r., sygn. akt </w:t>
      </w:r>
      <w:hyperlink r:id="rId11" w:anchor="/document/523247368?cm=DOCUMENT" w:history="1">
        <w:r w:rsidRPr="00A03AB6">
          <w:rPr>
            <w:rFonts w:ascii="Bookman Old Style" w:eastAsia="Times New Roman" w:hAnsi="Bookman Old Style" w:cs="Times New Roman"/>
            <w:lang w:eastAsia="pl-PL"/>
          </w:rPr>
          <w:t>III OZ 124/21</w:t>
        </w:r>
      </w:hyperlink>
      <w:r w:rsidRPr="00A03AB6">
        <w:rPr>
          <w:rFonts w:ascii="Bookman Old Style" w:eastAsia="Times New Roman" w:hAnsi="Bookman Old Style" w:cs="Times New Roman"/>
          <w:lang w:eastAsia="pl-PL"/>
        </w:rPr>
        <w:t> i z 7 lipca 2021 r., sygn. akt ).</w:t>
      </w:r>
    </w:p>
    <w:p w14:paraId="07A0A938" w14:textId="77777777" w:rsidR="00280A00" w:rsidRPr="00A03AB6" w:rsidRDefault="00280A00" w:rsidP="00A03AB6">
      <w:pPr>
        <w:spacing w:after="0"/>
        <w:jc w:val="both"/>
        <w:rPr>
          <w:rFonts w:ascii="Bookman Old Style" w:eastAsia="Times New Roman" w:hAnsi="Bookman Old Style" w:cs="Times New Roman"/>
          <w:lang w:eastAsia="pl-PL"/>
        </w:rPr>
      </w:pPr>
    </w:p>
    <w:p w14:paraId="39886DAF"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 sytuacji zatem, gdy formularz pisma ogólnego nie stanowi pisma strony w rozumieniu </w:t>
      </w:r>
      <w:hyperlink r:id="rId12" w:anchor="/document/16982717?unitId=art(45)&amp;cm=DOCUMENT" w:history="1">
        <w:r w:rsidRPr="00A03AB6">
          <w:rPr>
            <w:rFonts w:ascii="Bookman Old Style" w:eastAsia="Times New Roman" w:hAnsi="Bookman Old Style" w:cs="Times New Roman"/>
            <w:lang w:eastAsia="pl-PL"/>
          </w:rPr>
          <w:t>art. 45</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jest swego rodzaju "kopertą", do której zapakowane mogą być: pismo strony np. skarga i załączniki np. pełnomocnictwo, wniosek o przyznanie prawa pomocy itd.</w:t>
      </w:r>
    </w:p>
    <w:p w14:paraId="41E4B016" w14:textId="77777777" w:rsidR="00280A00" w:rsidRPr="00A03AB6" w:rsidRDefault="00280A00" w:rsidP="00A03AB6">
      <w:pPr>
        <w:spacing w:after="0"/>
        <w:jc w:val="both"/>
        <w:rPr>
          <w:rFonts w:ascii="Bookman Old Style" w:eastAsia="Times New Roman" w:hAnsi="Bookman Old Style" w:cs="Times New Roman"/>
          <w:lang w:eastAsia="pl-PL"/>
        </w:rPr>
      </w:pPr>
    </w:p>
    <w:p w14:paraId="7D4409D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7.12. </w:t>
      </w:r>
      <w:hyperlink r:id="rId13" w:anchor="/document/16982717?unitId=art(46)par(2(a))&amp;cm=DOCUMENT" w:history="1">
        <w:r w:rsidRPr="00A03AB6">
          <w:rPr>
            <w:rFonts w:ascii="Bookman Old Style" w:eastAsia="Times New Roman" w:hAnsi="Bookman Old Style" w:cs="Times New Roman"/>
            <w:lang w:eastAsia="pl-PL"/>
          </w:rPr>
          <w:t>Art. 46 § 2a</w:t>
        </w:r>
      </w:hyperlink>
      <w:r w:rsidRPr="00A03AB6">
        <w:rPr>
          <w:rFonts w:ascii="Bookman Old Style" w:eastAsia="Times New Roman" w:hAnsi="Bookman Old Style" w:cs="Times New Roman"/>
          <w:lang w:eastAsia="pl-PL"/>
        </w:rPr>
        <w:t> i </w:t>
      </w:r>
      <w:hyperlink r:id="rId14" w:anchor="/document/16982717?unitId=art(46)par(2(b))&amp;cm=DOCUMENT" w:history="1">
        <w:r w:rsidRPr="00A03AB6">
          <w:rPr>
            <w:rFonts w:ascii="Bookman Old Style" w:eastAsia="Times New Roman" w:hAnsi="Bookman Old Style" w:cs="Times New Roman"/>
            <w:lang w:eastAsia="pl-PL"/>
          </w:rPr>
          <w:t>§ 2b</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reguluje materię odrębną od przedmiotu regulowanego instrukcją i zasadami wysyłania pism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W szczególności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nie odnosi się do załączników do pisma ogólnego wnoszonego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Przepis ten odnosi się do załączników w znaczeniu procesowym jakim rozumie je </w:t>
      </w:r>
      <w:hyperlink r:id="rId15" w:anchor="/document/16982717?unitId=art(46)par(1)pkt(5)&amp;cm=DOCUMENT" w:history="1">
        <w:r w:rsidRPr="00A03AB6">
          <w:rPr>
            <w:rFonts w:ascii="Bookman Old Style" w:eastAsia="Times New Roman" w:hAnsi="Bookman Old Style" w:cs="Times New Roman"/>
            <w:lang w:eastAsia="pl-PL"/>
          </w:rPr>
          <w:t>art. 46 § 1 pkt 5</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Zgodnie z tym przepisem każde pismo strony powinno zawierać wymienienie załączników.</w:t>
      </w:r>
    </w:p>
    <w:p w14:paraId="363A72BE" w14:textId="77777777" w:rsidR="00280A00" w:rsidRPr="00A03AB6" w:rsidRDefault="00280A00" w:rsidP="00A03AB6">
      <w:pPr>
        <w:spacing w:after="0"/>
        <w:jc w:val="both"/>
        <w:rPr>
          <w:rFonts w:ascii="Bookman Old Style" w:eastAsia="Times New Roman" w:hAnsi="Bookman Old Style" w:cs="Times New Roman"/>
          <w:lang w:eastAsia="pl-PL"/>
        </w:rPr>
      </w:pPr>
    </w:p>
    <w:p w14:paraId="7B50C3C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Należy zwrócić uwagę w szczególności na </w:t>
      </w:r>
      <w:hyperlink r:id="rId16" w:anchor="/document/16982717?unitId=art(45)&amp;cm=DOCUMENT" w:history="1">
        <w:r w:rsidRPr="00A03AB6">
          <w:rPr>
            <w:rFonts w:ascii="Bookman Old Style" w:eastAsia="Times New Roman" w:hAnsi="Bookman Old Style" w:cs="Times New Roman"/>
            <w:lang w:eastAsia="pl-PL"/>
          </w:rPr>
          <w:t>art. 45</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który stanowi, że "Pismo w postępowaniu sądowym (pismo strony) obejmuje wnioski i oświadczenia stron składane poza rozprawą". Pismo strony powinno zawierać określone elementy, o których mowa w </w:t>
      </w:r>
      <w:hyperlink r:id="rId17" w:anchor="/document/16982717?unitId=art(46)par(1)&amp;cm=DOCUMENT" w:history="1">
        <w:r w:rsidRPr="00A03AB6">
          <w:rPr>
            <w:rFonts w:ascii="Bookman Old Style" w:eastAsia="Times New Roman" w:hAnsi="Bookman Old Style" w:cs="Times New Roman"/>
            <w:lang w:eastAsia="pl-PL"/>
          </w:rPr>
          <w:t>art. 46 § 1</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tj.: oznaczenie sądu, do którego jest skierowane, imię i nazwisko lub nazwę stron, ich przedstawicieli ustawowych i pełnomocników; oznaczenie rodzaju pisma; osnowę wniosku lub oświadczenia.</w:t>
      </w:r>
    </w:p>
    <w:p w14:paraId="6472B00F" w14:textId="77777777" w:rsidR="00280A00" w:rsidRPr="00A03AB6" w:rsidRDefault="00280A00" w:rsidP="00A03AB6">
      <w:pPr>
        <w:spacing w:after="0"/>
        <w:jc w:val="both"/>
        <w:rPr>
          <w:rFonts w:ascii="Bookman Old Style" w:eastAsia="Times New Roman" w:hAnsi="Bookman Old Style" w:cs="Times New Roman"/>
          <w:lang w:eastAsia="pl-PL"/>
        </w:rPr>
      </w:pPr>
    </w:p>
    <w:p w14:paraId="1ED90D7D"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Ponadto ustawodawca w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posługuje się również pojęciem "pierwszego pisma w sprawie" i formułuje wobec niego szczególne wymogi. W szczególności takie pismo powinno zawierać:</w:t>
      </w:r>
    </w:p>
    <w:p w14:paraId="07E7265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oznaczenie miejsca zamieszkania, a w razie jego braku - adresu do doręczeń, lub siedziby i adresów stron, ich przedstawicieli ustawowych i pełnomocników,</w:t>
      </w:r>
    </w:p>
    <w:p w14:paraId="49B5A3DA"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numer PESEL strony wnoszącej pismo, będącej osobą fizyczną, oraz numer PESEL jej przedstawiciela ustawowego, jeżeli są obowiązani do jego posiadania albo posiadają go, nie mając takiego obowiązku, lub</w:t>
      </w:r>
    </w:p>
    <w:p w14:paraId="585BC56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lastRenderedPageBreak/>
        <w:t>- numer w Krajowym Rejestrze Sądowym, a w przypadku jego braku - numer identyfikacyjny REGON albo numer w innym właściwym rejestrze lub ewidencji, albo numer identyfikacji podatkowej strony wnoszącej pismo, niebędącej osobą fizyczną, która nie ma obowiązku wpisu we właściwym rejestrze lub ewidencji, jeżeli jest ona obowiązana do jego posiadania,</w:t>
      </w:r>
    </w:p>
    <w:p w14:paraId="53B0C6C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oznaczenie przedmiotu sprawy.</w:t>
      </w:r>
    </w:p>
    <w:p w14:paraId="3FC68946" w14:textId="77777777" w:rsidR="00280A00" w:rsidRPr="00A03AB6" w:rsidRDefault="00280A00" w:rsidP="00A03AB6">
      <w:pPr>
        <w:spacing w:after="0"/>
        <w:jc w:val="both"/>
        <w:rPr>
          <w:rFonts w:ascii="Bookman Old Style" w:eastAsia="Times New Roman" w:hAnsi="Bookman Old Style" w:cs="Times New Roman"/>
          <w:lang w:eastAsia="pl-PL"/>
        </w:rPr>
      </w:pPr>
    </w:p>
    <w:p w14:paraId="3E8D191F"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praktyce pismo ogólne wnoszone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nie spełnia warunków "pierwszego pisma w sprawie" (o ile nie zawiera wniosków i oświadczeń woli). Takie warunki spełnia natomiast skarga.</w:t>
      </w:r>
    </w:p>
    <w:p w14:paraId="46099A2B" w14:textId="77777777" w:rsidR="00280A00" w:rsidRPr="00A03AB6" w:rsidRDefault="00280A00" w:rsidP="00A03AB6">
      <w:pPr>
        <w:spacing w:after="0"/>
        <w:jc w:val="both"/>
        <w:rPr>
          <w:rFonts w:ascii="Bookman Old Style" w:eastAsia="Times New Roman" w:hAnsi="Bookman Old Style" w:cs="Times New Roman"/>
          <w:lang w:eastAsia="pl-PL"/>
        </w:rPr>
      </w:pPr>
    </w:p>
    <w:p w14:paraId="796C50A3"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Należy wziąć pod uwagę także charakter samej skargi, która z zasady jest pismem strony, a nie załącznikiem do innego pisma. Skoro sąd orzeka o formalnej poprawności skargi stosując przepisy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to w myśl tych przepisów pismem strony jest to pismo, które obejmuje wnioski i oświadczenia stron składane poza rozprawą. I to właśnie to pismo winno zostać uwierzytelnione przez stronę podpisem.</w:t>
      </w:r>
    </w:p>
    <w:p w14:paraId="4B5E886E" w14:textId="77777777" w:rsidR="00280A00" w:rsidRPr="00A03AB6" w:rsidRDefault="00280A00" w:rsidP="00A03AB6">
      <w:pPr>
        <w:spacing w:after="0"/>
        <w:jc w:val="both"/>
        <w:rPr>
          <w:rFonts w:ascii="Bookman Old Style" w:eastAsia="Times New Roman" w:hAnsi="Bookman Old Style" w:cs="Times New Roman"/>
          <w:lang w:eastAsia="pl-PL"/>
        </w:rPr>
      </w:pPr>
    </w:p>
    <w:p w14:paraId="04A4D0B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Z powyższego wynika, że to skarga powinna być samodzielnym dokumentem elektronicznym opatrzonym wymaganym podpisem. Oznacza to, że w przypadku odłączenia od formularza pisma ogólnego będzie dokumentem podpisanym podpisem zaufanym, podpisem kwalifikowanym lub podpisem osobistym. Jednocześnie dokument ten będzie mógł być przekazany pozostałym uczestnikom postępowania zgodnie </w:t>
      </w:r>
      <w:hyperlink r:id="rId18" w:anchor="/document/16982717?unitId=art(12(b))par(2)&amp;cm=DOCUMENT" w:history="1">
        <w:r w:rsidRPr="00A03AB6">
          <w:rPr>
            <w:rFonts w:ascii="Bookman Old Style" w:eastAsia="Times New Roman" w:hAnsi="Bookman Old Style" w:cs="Times New Roman"/>
            <w:lang w:eastAsia="pl-PL"/>
          </w:rPr>
          <w:t>art. 12b § 2</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Ustanawia on bowiem wymóg przesłania dokumentów elektronicznych wniesionych do sądu uczestnikom, którzy komunikują się elektronicznie w sposób wskazany w </w:t>
      </w:r>
      <w:hyperlink r:id="rId19" w:anchor="/document/16982717?unitId=art(74(a))&amp;cm=DOCUMENT" w:history="1">
        <w:r w:rsidRPr="00A03AB6">
          <w:rPr>
            <w:rFonts w:ascii="Bookman Old Style" w:eastAsia="Times New Roman" w:hAnsi="Bookman Old Style" w:cs="Times New Roman"/>
            <w:lang w:eastAsia="pl-PL"/>
          </w:rPr>
          <w:t>art. 74a</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w:t>
      </w:r>
    </w:p>
    <w:p w14:paraId="41E6928E" w14:textId="77777777" w:rsidR="00280A00" w:rsidRPr="00A03AB6" w:rsidRDefault="00280A00" w:rsidP="00A03AB6">
      <w:pPr>
        <w:spacing w:after="0"/>
        <w:jc w:val="both"/>
        <w:rPr>
          <w:rFonts w:ascii="Bookman Old Style" w:eastAsia="Times New Roman" w:hAnsi="Bookman Old Style" w:cs="Times New Roman"/>
          <w:lang w:eastAsia="pl-PL"/>
        </w:rPr>
      </w:pPr>
    </w:p>
    <w:p w14:paraId="4591284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Z tego względu uznanie, że skarga jest załącznikiem do formularza pisma ogólnego niewymagającym odrębnego podpisu, stanowi odwrócenie zasad obowiązujących w postępowaniu przed sądem administracyjnym i interpretowanie ich przez pryzmat warunków technicznych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co jest zabiegiem nieuprawnionym w świetle powołanych norm prawnych (zob. podobnie P. Iżycki, O wymogu podpisania pisma wniesionego do sądu administracyjnego w formie dokumentu elektronicznego, Zeszyty Naukowe Sądownictwa Administracyjnego 2021/6).</w:t>
      </w:r>
    </w:p>
    <w:p w14:paraId="6CC30BB3" w14:textId="77777777" w:rsidR="00280A00" w:rsidRPr="00A03AB6" w:rsidRDefault="00280A00" w:rsidP="00A03AB6">
      <w:pPr>
        <w:spacing w:after="0"/>
        <w:jc w:val="both"/>
        <w:rPr>
          <w:rFonts w:ascii="Bookman Old Style" w:eastAsia="Times New Roman" w:hAnsi="Bookman Old Style" w:cs="Times New Roman"/>
          <w:lang w:eastAsia="pl-PL"/>
        </w:rPr>
      </w:pPr>
    </w:p>
    <w:p w14:paraId="11A4BF0D"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7.13. Należy również zwrócić uwagę na cel formalnego wymogu podpisania pisma strony w procesie </w:t>
      </w:r>
      <w:proofErr w:type="spellStart"/>
      <w:r w:rsidRPr="00A03AB6">
        <w:rPr>
          <w:rFonts w:ascii="Bookman Old Style" w:eastAsia="Times New Roman" w:hAnsi="Bookman Old Style" w:cs="Times New Roman"/>
          <w:lang w:eastAsia="pl-PL"/>
        </w:rPr>
        <w:t>sądowoadministracyjnym</w:t>
      </w:r>
      <w:proofErr w:type="spellEnd"/>
      <w:r w:rsidRPr="00A03AB6">
        <w:rPr>
          <w:rFonts w:ascii="Bookman Old Style" w:eastAsia="Times New Roman" w:hAnsi="Bookman Old Style" w:cs="Times New Roman"/>
          <w:lang w:eastAsia="pl-PL"/>
        </w:rPr>
        <w:t>, a w szczególności pisma jakim jest skarga. Funkcją podpisu pod skargą jest legitymizacja jej treści przez stronę postępowania, co tyczy się wszystkich elementów tego pisma, takich jak zakres zaskarżenia czy wnioski procesowe. Wymóg podpisania skargi stanowi jej element konstrukcyjny, o którym mowa w </w:t>
      </w:r>
      <w:hyperlink r:id="rId20" w:anchor="/document/16982717?unitId=art(57)par(1)&amp;cm=DOCUMENT" w:history="1">
        <w:r w:rsidRPr="00A03AB6">
          <w:rPr>
            <w:rFonts w:ascii="Bookman Old Style" w:eastAsia="Times New Roman" w:hAnsi="Bookman Old Style" w:cs="Times New Roman"/>
            <w:lang w:eastAsia="pl-PL"/>
          </w:rPr>
          <w:t>art. 57 § 1</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(zob. też postanowienie NSA z 16 marca 2021 r., sygn. akt ). Wymóg podpisania skargi ma zatem na celu legitymizację jej treści przez skarżącego albo przez osobę działającą w jego imieniu. Podpisanie pisma procesowego, a w szczególności skargi, potwierdza wolę skierowania do sądu administracyjnego środka prawnego o określonej treści. Jak trafnie podkreślono w literaturze przedmiotu taka interpretacja zmierza do tego, aby nie było wątpliwości, czy w istocie strona załączyła do pisma ogólnego w platformie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zamierzoną treść skargi. Pewności tej brakuje, gdy podpisane zostało tylko </w:t>
      </w:r>
      <w:r w:rsidRPr="00A03AB6">
        <w:rPr>
          <w:rFonts w:ascii="Bookman Old Style" w:eastAsia="Times New Roman" w:hAnsi="Bookman Old Style" w:cs="Times New Roman"/>
          <w:lang w:eastAsia="pl-PL"/>
        </w:rPr>
        <w:lastRenderedPageBreak/>
        <w:t>pismo ogólne, które w swojej treści nie zawiera żadnych elementów skargi, ograniczając się do poinformowania o przesłaniu skargi jako załącznika do niego. (P. Iżycki, ibidem).</w:t>
      </w:r>
    </w:p>
    <w:p w14:paraId="78421449" w14:textId="77777777" w:rsidR="00280A00" w:rsidRPr="00A03AB6" w:rsidRDefault="00280A00" w:rsidP="00A03AB6">
      <w:pPr>
        <w:spacing w:after="0"/>
        <w:jc w:val="both"/>
        <w:rPr>
          <w:rFonts w:ascii="Bookman Old Style" w:eastAsia="Times New Roman" w:hAnsi="Bookman Old Style" w:cs="Times New Roman"/>
          <w:lang w:eastAsia="pl-PL"/>
        </w:rPr>
      </w:pPr>
    </w:p>
    <w:p w14:paraId="1A11281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Zatem interpretację przemawiającą za koniecznością odrębnego podpisania załącznika, a w szczególności skargi, wspiera wykładnia celowościowa.</w:t>
      </w:r>
    </w:p>
    <w:p w14:paraId="1F3AA4E3" w14:textId="77777777" w:rsidR="00280A00" w:rsidRPr="00A03AB6" w:rsidRDefault="00280A00" w:rsidP="00A03AB6">
      <w:pPr>
        <w:spacing w:after="0"/>
        <w:jc w:val="both"/>
        <w:rPr>
          <w:rFonts w:ascii="Bookman Old Style" w:eastAsia="Times New Roman" w:hAnsi="Bookman Old Style" w:cs="Times New Roman"/>
          <w:lang w:eastAsia="pl-PL"/>
        </w:rPr>
      </w:pPr>
    </w:p>
    <w:p w14:paraId="27D45F5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7.14. Interpretacja dopuszczająca wnoszenie skargi w formie niepodpisanego załącznika do formularza pisma ogólnego jest sprzeczna nie tylko z celowościową wykładnią przepisów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ale przede wszystkim z wykładnią językową tych przepisów. Z powołanych przepisów wynika, że podpisane powinno zostać pismo strony, a więc jej wnioski i oświadczenia składane poza rozprawą (</w:t>
      </w:r>
      <w:hyperlink r:id="rId21" w:anchor="/document/16982717?unitId=art(45)&amp;cm=DOCUMENT" w:history="1">
        <w:r w:rsidRPr="00A03AB6">
          <w:rPr>
            <w:rFonts w:ascii="Bookman Old Style" w:eastAsia="Times New Roman" w:hAnsi="Bookman Old Style" w:cs="Times New Roman"/>
            <w:lang w:eastAsia="pl-PL"/>
          </w:rPr>
          <w:t>art. 45</w:t>
        </w:r>
      </w:hyperlink>
      <w:r w:rsidRPr="00A03AB6">
        <w:rPr>
          <w:rFonts w:ascii="Bookman Old Style" w:eastAsia="Times New Roman" w:hAnsi="Bookman Old Style" w:cs="Times New Roman"/>
          <w:lang w:eastAsia="pl-PL"/>
        </w:rPr>
        <w:t>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w:t>
      </w:r>
    </w:p>
    <w:p w14:paraId="195AACBB" w14:textId="77777777" w:rsidR="00280A00" w:rsidRPr="00A03AB6" w:rsidRDefault="00280A00" w:rsidP="00A03AB6">
      <w:pPr>
        <w:spacing w:after="0"/>
        <w:jc w:val="both"/>
        <w:rPr>
          <w:rFonts w:ascii="Bookman Old Style" w:eastAsia="Times New Roman" w:hAnsi="Bookman Old Style" w:cs="Times New Roman"/>
          <w:lang w:eastAsia="pl-PL"/>
        </w:rPr>
      </w:pPr>
    </w:p>
    <w:p w14:paraId="46A13BC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Nie można zgodzić się z poglądami części orzecznictwa, które za niezasadne uznaje wzywanie do usunięcia braku formalnego podpisania skargi, skoro stanowiła ona załącznik do pisma ogólnego sporządzonego na formularzu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który został podpisany podpisem elektronicznym. Okoliczność, że na gruncie zasad technicznych systemu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skarga może stanowić załącznik do pisma ogólnego nie może mieć przeważającego znaczenia.</w:t>
      </w:r>
    </w:p>
    <w:p w14:paraId="327F23D3" w14:textId="77777777" w:rsidR="00280A00" w:rsidRPr="00A03AB6" w:rsidRDefault="00280A00" w:rsidP="00A03AB6">
      <w:pPr>
        <w:spacing w:after="0"/>
        <w:jc w:val="both"/>
        <w:rPr>
          <w:rFonts w:ascii="Bookman Old Style" w:eastAsia="Times New Roman" w:hAnsi="Bookman Old Style" w:cs="Times New Roman"/>
          <w:lang w:eastAsia="pl-PL"/>
        </w:rPr>
      </w:pPr>
    </w:p>
    <w:p w14:paraId="528E2A0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Nie można pominąć celu wprowadzenia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Zgodnie z brzmieniem </w:t>
      </w:r>
      <w:hyperlink r:id="rId22" w:anchor="/document/17181936?unitId=art(16)ust(1)&amp;cm=DOCUMENT" w:history="1">
        <w:r w:rsidRPr="00A03AB6">
          <w:rPr>
            <w:rFonts w:ascii="Bookman Old Style" w:eastAsia="Times New Roman" w:hAnsi="Bookman Old Style" w:cs="Times New Roman"/>
            <w:lang w:eastAsia="pl-PL"/>
          </w:rPr>
          <w:t>art. 16 ust. 1</w:t>
        </w:r>
      </w:hyperlink>
      <w:r w:rsidRPr="00A03AB6">
        <w:rPr>
          <w:rFonts w:ascii="Bookman Old Style" w:eastAsia="Times New Roman" w:hAnsi="Bookman Old Style" w:cs="Times New Roman"/>
          <w:lang w:eastAsia="pl-PL"/>
        </w:rPr>
        <w:t xml:space="preserve"> ustawy o informatyzacji podmiot publiczny, organizując przetwarzanie danych w systemie teleinformatycznym, jest obowiązany zapewnić możliwość przekazywania danych również w postaci elektronicznej przez wymianę dokumentów elektronicznych związanych z załatwianiem spraw należących do jego zakresu działania, wykorzystując informatyczne nośniki danych lub środki komunikacji elektronicznej. Dotyczy to także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(por. ust. 1a tego przepisu). Sposób doręczenia dokumentu przez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stwarza pewne domniemania. Jak zauważono w orzecznictwie, jest to forma kwalifikowana, dająca pewność doręczenia, bo jak stanowił § 7 ust. 1 pkt 1 (nieobowiązującego już) </w:t>
      </w:r>
      <w:hyperlink r:id="rId23" w:anchor="/document/18094456?cm=DOCUMENT" w:history="1">
        <w:r w:rsidRPr="00A03AB6">
          <w:rPr>
            <w:rFonts w:ascii="Bookman Old Style" w:eastAsia="Times New Roman" w:hAnsi="Bookman Old Style" w:cs="Times New Roman"/>
            <w:lang w:eastAsia="pl-PL"/>
          </w:rPr>
          <w:t>rozporządzenia</w:t>
        </w:r>
      </w:hyperlink>
      <w:r w:rsidRPr="00A03AB6">
        <w:rPr>
          <w:rFonts w:ascii="Bookman Old Style" w:eastAsia="Times New Roman" w:hAnsi="Bookman Old Style" w:cs="Times New Roman"/>
          <w:lang w:eastAsia="pl-PL"/>
        </w:rPr>
        <w:t xml:space="preserve"> Ministra Administracji i Cyfryzacji z dnia 6 maja 2014 r. w sprawie zakresu i warunków korzystania z elektronicznej platformy usług administracji publicznej (Dz. U. poz. 584) rozwiązania techniczne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zapewniają niezaprzeczalność urzędowego poświadczenia odbioru. Zgodnie z treścią rozporządzenia z dnia 14 września 2011 r., doręczenia dokonywane za pomocą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uważa się za dokonane przez podmiot publiczny lub do podmiotu publicznego, który utworzył na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elektroniczną skrzynkę podawczą. W takim wypadku § 13 ust. 1 tego rozporządzenia przewiduje bowiem automatyczne tworzenie i udostępnianie nadawcy dokumentu przez system elektroniczny poświadczenia przedłożenia, czyli doręczenia. Oznacza to, że taki system doręczeń potwierdza zarówno wysłanie, jak i doręczenie dokumentu, a zatem gwarantuje dotarcie go do adresata, w przeciwieństwie do "zwykłej" poczty elektronicznej, która stwarza tylko domniemanie doręczenia, bo w zasadzie potwierdza tylko wysłanie dokumentu (por. wyrok NSA z 18 kwietnia 2019 r., </w:t>
      </w:r>
      <w:hyperlink r:id="rId24" w:anchor="/document/522781600?cm=DOCUMENT" w:history="1">
        <w:r w:rsidRPr="00A03AB6">
          <w:rPr>
            <w:rFonts w:ascii="Bookman Old Style" w:eastAsia="Times New Roman" w:hAnsi="Bookman Old Style" w:cs="Times New Roman"/>
            <w:lang w:eastAsia="pl-PL"/>
          </w:rPr>
          <w:t>I OSK 1827/17</w:t>
        </w:r>
      </w:hyperlink>
      <w:r w:rsidRPr="00A03AB6">
        <w:rPr>
          <w:rFonts w:ascii="Bookman Old Style" w:eastAsia="Times New Roman" w:hAnsi="Bookman Old Style" w:cs="Times New Roman"/>
          <w:lang w:eastAsia="pl-PL"/>
        </w:rPr>
        <w:t>).</w:t>
      </w:r>
    </w:p>
    <w:p w14:paraId="32EEEFE3" w14:textId="77777777" w:rsidR="00280A00" w:rsidRPr="00A03AB6" w:rsidRDefault="00280A00" w:rsidP="00A03AB6">
      <w:pPr>
        <w:spacing w:after="0"/>
        <w:jc w:val="both"/>
        <w:rPr>
          <w:rFonts w:ascii="Bookman Old Style" w:eastAsia="Times New Roman" w:hAnsi="Bookman Old Style" w:cs="Times New Roman"/>
          <w:lang w:eastAsia="pl-PL"/>
        </w:rPr>
      </w:pPr>
    </w:p>
    <w:p w14:paraId="1375AACA"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Powyższe wskazuje, że podstawowym celem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nie jest zagwarantowanie skutecznego podpisywania pism, ale ich doręczanie przez podmiot </w:t>
      </w:r>
      <w:r w:rsidRPr="00A03AB6">
        <w:rPr>
          <w:rFonts w:ascii="Bookman Old Style" w:eastAsia="Times New Roman" w:hAnsi="Bookman Old Style" w:cs="Times New Roman"/>
          <w:lang w:eastAsia="pl-PL"/>
        </w:rPr>
        <w:lastRenderedPageBreak/>
        <w:t xml:space="preserve">publiczny lub do podmiotu publicznego. Z tego względu nie można nadawać przesądzającego znaczenia zapisom instrukcji do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a w szczególności wywodzić, że celem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jest zapewnienie wnoszenia skutecznie pism sądowych bez ich odrębnego podpisywania.</w:t>
      </w:r>
    </w:p>
    <w:p w14:paraId="2425BA43"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56675CA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Należy również zwrócić uwagę, że Elektroniczna Platforma Usług Administracji Publicznej służąca do komunikacji obywateli z jednostkami administracji publicznej w ujednolicony, standardowy sposób nie jest systemem sądowym ale systemem państwowym, na którego funkcjonowanie Sąd nie ma wpływu. Brak technicznej możliwości podpisania załącznika z poziomu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nie wyklucza natomiast możliwości podpisania takiego dokumentu w innym miejscu, a następnie dołączenia do korespondencji. Nie ma bowiem przeszkód technicznych, aby strona podpisała skargę w formie podpisu zaufanego, podpisu kwalifikowanego lub podpisu osobistego.</w:t>
      </w:r>
    </w:p>
    <w:p w14:paraId="5659607B"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3DD7404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Jako dodatkowy argument przemawiający za koniecznością odrębnego podpisywania podpisem elektronicznym załączników do formularza pisma ogólnego przesyłanego przez profil zaufany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podnieść należy także, że w przypadku sądu, zasadniczo musi on załącznik (np. skargę) odłączyć od pisma ogólnego i przekazać stronie przeciwnej. Stąd celowym i przemyślanym zabiegiem było wprowadzenie obowiązku podpisywania załączników (z tego względu zawarto ww. przepis w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żeby realizować te zadania). Przykładowo załącznikami do pisma ogólnego mogą być skarga i wniosek o przyznanie prawa pomocy zawierający tzw. "dane wrażliwe". W takiej sytuacji nie ulega wątpliwości, że koniecznym jest odłączenie skargi od pozostałych plików. Powszechną praktyką pełnomocników jest też przesyłanie kilku skarg dołączonych do jednego pisma ogólnego. Z taką sytuacją mamy do czynienia w tej sprawie, w której do pisma ogólnego dołączono trzy skargi. Nie ulega zatem wątpliwości, że skarga załączona do pisma ogólnego musi zostać samodzielnie podpisana podpisem zaufanym, podpisem kwalifikowanym lub podpisem osobistym.</w:t>
      </w:r>
    </w:p>
    <w:p w14:paraId="05C9A55C" w14:textId="77777777" w:rsidR="00280A00" w:rsidRPr="00A03AB6" w:rsidRDefault="00280A00" w:rsidP="00A03AB6">
      <w:pPr>
        <w:spacing w:after="0"/>
        <w:jc w:val="both"/>
        <w:rPr>
          <w:rFonts w:ascii="Bookman Old Style" w:eastAsia="Times New Roman" w:hAnsi="Bookman Old Style" w:cs="Times New Roman"/>
          <w:lang w:eastAsia="pl-PL"/>
        </w:rPr>
      </w:pPr>
    </w:p>
    <w:p w14:paraId="23D96B6D"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Zdanie odrębne:</w:t>
      </w:r>
    </w:p>
    <w:p w14:paraId="66FB067E" w14:textId="77777777" w:rsidR="00280A00" w:rsidRPr="00A03AB6" w:rsidRDefault="00280A00" w:rsidP="00A03AB6">
      <w:pPr>
        <w:spacing w:after="0"/>
        <w:jc w:val="both"/>
        <w:rPr>
          <w:rFonts w:ascii="Bookman Old Style" w:eastAsia="Times New Roman" w:hAnsi="Bookman Old Style" w:cs="Times New Roman"/>
          <w:lang w:eastAsia="pl-PL"/>
        </w:rPr>
      </w:pPr>
    </w:p>
    <w:p w14:paraId="4734FE1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 </w:t>
      </w:r>
    </w:p>
    <w:p w14:paraId="5703BA66"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Stosownie do art. 57 § 1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skarga powinna czynić zadość wymaganiom pisma w postępowaniu sądowym. Jednym z wymogów pisma w postępowaniu sądowym jest jego podpisanie – przez stronę albo jej przedstawiciela ustawowego lub pełnomocnika (art. 46 § 1 pkt 4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Określony w ustawie warunek formy pisemnej uważa się za zachowany, jeżeli dokument elektroniczny został podpisany w sposób, o którym mowa w art. 46 § 2a (art. 12b § 1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w:t>
      </w:r>
    </w:p>
    <w:p w14:paraId="4512CE4B" w14:textId="77777777" w:rsidR="00280A00" w:rsidRPr="00A03AB6" w:rsidRDefault="00280A00" w:rsidP="00A03AB6">
      <w:pPr>
        <w:spacing w:after="0"/>
        <w:jc w:val="both"/>
        <w:rPr>
          <w:rFonts w:ascii="Bookman Old Style" w:eastAsia="Times New Roman" w:hAnsi="Bookman Old Style" w:cs="Times New Roman"/>
          <w:lang w:eastAsia="pl-PL"/>
        </w:rPr>
      </w:pPr>
    </w:p>
    <w:p w14:paraId="7D80FB0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Zgodnie zaś z art. 46 § 2a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w przypadku gdy pismo strony jest wnoszone w formie dokumentu elektronicznego powinno ponadto zawierać adres elektroniczny oraz zostać podpisane przez stronę albo jej przedstawiciela ustawowego lub pełnomocnika kwalifikowanym podpisem elektronicznym, podpisem zaufanym albo podpisem osobistym. W myśl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zasady podpisywania przewidziane w § 2a dotyczą także załączników wnoszonych w formie dokumentu elektronicznego.</w:t>
      </w:r>
    </w:p>
    <w:p w14:paraId="582ADE9C" w14:textId="77777777" w:rsidR="00280A00" w:rsidRPr="00A03AB6" w:rsidRDefault="00280A00" w:rsidP="00A03AB6">
      <w:pPr>
        <w:spacing w:after="0"/>
        <w:jc w:val="both"/>
        <w:rPr>
          <w:rFonts w:ascii="Bookman Old Style" w:eastAsia="Times New Roman" w:hAnsi="Bookman Old Style" w:cs="Times New Roman"/>
          <w:lang w:eastAsia="pl-PL"/>
        </w:rPr>
      </w:pPr>
    </w:p>
    <w:p w14:paraId="7FAAE0CF"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lastRenderedPageBreak/>
        <w:t xml:space="preserve">Analiza ww. regulacji prowadzi do wniosku, że art. 46 § 2a i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nakłada wyłącznie obowiązek podpisania pisma określonym rodzajem podpisu elektronicznego, nie reguluje natomiast w jaki sposób czynność taka ma być dokonana. Ponadto z przepisów tych wynika, że podpisane powinno być pismo procesowe jak również każdy załącznik do tego pisma. Idąc dalej należy stwierdzić, że nie ma w katalogu przepisów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regulacji, która wyznacza zasady podpisywania pism podpisem elektronicznym, w tym również w przypadku ich wnoszenia przez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Oznacza to, że techniczne sposoby podpisania pisma lub załącznika w rozumieniu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w przypadku ich wnoszenia za pomocą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należy poszukiwać w innych regulacjach (tzw. przepisach technicznych), nie wykluczając takich, które nie są zaliczane do źródeł prawa powszechnie obowiązującego.</w:t>
      </w:r>
    </w:p>
    <w:p w14:paraId="597F52BE"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04963272" w14:textId="77777777" w:rsidR="00280A00" w:rsidRPr="00A03AB6" w:rsidRDefault="00280A00" w:rsidP="00A03AB6">
      <w:pPr>
        <w:spacing w:after="0"/>
        <w:jc w:val="both"/>
        <w:rPr>
          <w:rFonts w:ascii="Bookman Old Style" w:eastAsia="Times New Roman" w:hAnsi="Bookman Old Style" w:cs="Times New Roman"/>
          <w:lang w:eastAsia="pl-PL"/>
        </w:rPr>
      </w:pPr>
    </w:p>
    <w:p w14:paraId="1119F6B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3. W tym miejscu nasuwa się kluczowe pytanie, w jaki sposób (na jakich zasadach) dokonuje się sygnowanie dokumentu elektronicznego podpisem elektronicznym w związku z wniesieniem skargi do sądu administracyjnego i czy czynności takiej można dokonać z wykorzystaniem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w:t>
      </w:r>
    </w:p>
    <w:p w14:paraId="2C1A7FE8" w14:textId="77777777" w:rsidR="00280A00" w:rsidRPr="00A03AB6" w:rsidRDefault="00280A00" w:rsidP="00A03AB6">
      <w:pPr>
        <w:spacing w:after="0"/>
        <w:jc w:val="both"/>
        <w:rPr>
          <w:rFonts w:ascii="Bookman Old Style" w:eastAsia="Times New Roman" w:hAnsi="Bookman Old Style" w:cs="Times New Roman"/>
          <w:lang w:eastAsia="pl-PL"/>
        </w:rPr>
      </w:pPr>
    </w:p>
    <w:p w14:paraId="0FA9AE5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tym zakresie zasadne jest odwołanie się do rozważań Naczelnego Sądu Administracyjnego zawartych w postanowieniu z 16 czerwca 2020 r., sygn. akt II OZ 275/20, w którym Sąd ten stwierdził, że "stanowisko (...), że elektroniczne podpisanie pisma głównego sporządzonego w formularzu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skutkuje podpisaniem jedynie tekstu tego pisma, a nie skutkuje podpisaniem załączonych do niego plików jest błędne. Zaprzecza mu nie tylko treść dokumentu elektronicznego (...), treść UPP, ale też oficjalne zasady funkcjonowania (instrukcje i podręczniki dla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i podpisywania pism w platformie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oraz mechanizmy wizualizacji dla użytkowania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w:t>
      </w:r>
    </w:p>
    <w:p w14:paraId="7B911464" w14:textId="77777777" w:rsidR="00280A00" w:rsidRPr="00A03AB6" w:rsidRDefault="00280A00" w:rsidP="00A03AB6">
      <w:pPr>
        <w:spacing w:after="0"/>
        <w:jc w:val="both"/>
        <w:rPr>
          <w:rFonts w:ascii="Bookman Old Style" w:eastAsia="Times New Roman" w:hAnsi="Bookman Old Style" w:cs="Times New Roman"/>
          <w:lang w:eastAsia="pl-PL"/>
        </w:rPr>
      </w:pPr>
    </w:p>
    <w:p w14:paraId="07C83EA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uzasadnieniu tego postanowienia Sąd wskazał, że w dokumencie pomocy zamieszczonym na stronie internetowej www.epuap.gov.pl (w zakładce: Pomoc &gt; Instrukcje i podręczniki &gt; Załatwianie sprawy), w punkcie 3. "Wypełnienie i wysyłanie wniosku", w kilku krokach opisana została droga do prawidłowego sporządzenia, podpisania i wysłania pisma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W Kroku 3 dotyczącym wprost przedmiotu niniejszej sprawy wskazuje się, że: "Z rozwijanej listy użytkownik może wybrać Rodzaj pisma [5], jakie chce złożyć do urzędu. Może to być wniosek, skarga, oświadczenie etc. Następnie wypełnia pola wymagane, tj. Tytuł pisma [6] oraz uzupełnia jego Treść [7]. Użytkownik może również pobrać załączniki z dysku i wysłać je wraz z wypełnionym formularzem do urzędu. Jeśli chce dodać załącznik klika na symbol zielonego plusa [8] następnie wybiera ścieżkę do miejsca, w którym umieszczony jest wybrany plik a na końcu wpisuje Opis załącznika". Na końcu opisu Kroku 3 (w ramce z wykrzyknikiem) umieszczono następującą informację i zasadę: "Aby dokument miał moc prawną powinien być podpisany przed wysłaniem. Jest to sytuacja analogiczna jak w przypadku korespondencji drogą tradycyjną – na wnioskach, które składamy w urzędach osobiście, również składamy podpisy. Podpis odnosi się do całej treści formularza wraz z załączonymi do niego plikami". Ta reguła została powtórzona także w zakładce: Pomoc &gt; Instrukcje i </w:t>
      </w:r>
      <w:r w:rsidRPr="00A03AB6">
        <w:rPr>
          <w:rFonts w:ascii="Bookman Old Style" w:eastAsia="Times New Roman" w:hAnsi="Bookman Old Style" w:cs="Times New Roman"/>
          <w:lang w:eastAsia="pl-PL"/>
        </w:rPr>
        <w:lastRenderedPageBreak/>
        <w:t>podręczniki &gt; Zakładanie konta użytkownika i załatwianie sprawy, w punkcie "Jak wysłać pismo".</w:t>
      </w:r>
    </w:p>
    <w:p w14:paraId="28189676" w14:textId="77777777" w:rsidR="00280A00" w:rsidRPr="00A03AB6" w:rsidRDefault="00280A00" w:rsidP="00A03AB6">
      <w:pPr>
        <w:spacing w:after="0"/>
        <w:jc w:val="both"/>
        <w:rPr>
          <w:rFonts w:ascii="Bookman Old Style" w:eastAsia="Times New Roman" w:hAnsi="Bookman Old Style" w:cs="Times New Roman"/>
          <w:lang w:eastAsia="pl-PL"/>
        </w:rPr>
      </w:pPr>
    </w:p>
    <w:p w14:paraId="52510821"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Podkreślenia wymaga, że na dole każdej strony wskazanej wyżej Instrukcji umieszczono informację o treści: Centralny Ośrodek Informatyki ul. Suwak 3, 00-676 Warszawa </w:t>
      </w:r>
      <w:proofErr w:type="spellStart"/>
      <w:r w:rsidRPr="00A03AB6">
        <w:rPr>
          <w:rFonts w:ascii="Bookman Old Style" w:eastAsia="Times New Roman" w:hAnsi="Bookman Old Style" w:cs="Times New Roman"/>
          <w:lang w:eastAsia="pl-PL"/>
        </w:rPr>
        <w:t>tel</w:t>
      </w:r>
      <w:proofErr w:type="spellEnd"/>
      <w:r w:rsidRPr="00A03AB6">
        <w:rPr>
          <w:rFonts w:ascii="Bookman Old Style" w:eastAsia="Times New Roman" w:hAnsi="Bookman Old Style" w:cs="Times New Roman"/>
          <w:lang w:eastAsia="pl-PL"/>
        </w:rPr>
        <w:t>: 22 2502888 mail: coi@gov.pl | www.coi.pl. Na stronie internetowej www.coi.pl można uzyskać informację, że Centralny Ośrodek Informatyki (COI) jest instytucją gospodarki budżetowej, utworzoną zarządzeniem Ministra Spraw Wewnętrznych i Administracji z dnia 26 listopada 2010 r. w sprawie utworzenia i nadania statutu instytucji gospodarki budżetowej pod nazwą "Centralny Ośrodek Informatyki". Przedmiotem podstawowej działalności COI jest odpłatne wykonywanie usług na rzecz Ministra Spraw Wewnętrznych i innych podmiotów tj. jednostek administracji rządowej i jednostek samorządu terytorialnego oraz wykonywanie innych zadań z zakresu informatyki i teleinformatyki na rzecz osób trzecich, na podstawie odrębnych umów.</w:t>
      </w:r>
    </w:p>
    <w:p w14:paraId="09B1BCF9" w14:textId="77777777" w:rsidR="00280A00" w:rsidRPr="00A03AB6" w:rsidRDefault="00280A00" w:rsidP="00A03AB6">
      <w:pPr>
        <w:spacing w:after="0"/>
        <w:jc w:val="both"/>
        <w:rPr>
          <w:rFonts w:ascii="Bookman Old Style" w:eastAsia="Times New Roman" w:hAnsi="Bookman Old Style" w:cs="Times New Roman"/>
          <w:lang w:eastAsia="pl-PL"/>
        </w:rPr>
      </w:pPr>
    </w:p>
    <w:p w14:paraId="02AB4DEA"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Powyższe prowadzi do wniosku, że techniczne sposoby podpisania pisma lub załącznika w rozumieniu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w przypadku ich wnoszenia za pomocą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należy poszukiwać w dokumencie pomocy (Instrukcji) zamieszczonej na stronie internetowej www.epuap.gov.pl. Instrukcja ta została natomiast opracowana przez powołaną przez Ministra Spraw Wewnętrznych i Administracji instytucję gospodarki budżetowej "Centralny Ośrodek Informatyki".</w:t>
      </w:r>
    </w:p>
    <w:p w14:paraId="00D8B8FE" w14:textId="77777777" w:rsidR="00280A00" w:rsidRPr="00A03AB6" w:rsidRDefault="00280A00" w:rsidP="00A03AB6">
      <w:pPr>
        <w:spacing w:after="0"/>
        <w:jc w:val="both"/>
        <w:rPr>
          <w:rFonts w:ascii="Bookman Old Style" w:eastAsia="Times New Roman" w:hAnsi="Bookman Old Style" w:cs="Times New Roman"/>
          <w:lang w:eastAsia="pl-PL"/>
        </w:rPr>
      </w:pPr>
    </w:p>
    <w:p w14:paraId="153D977C"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To z Instrukcji wynika, że "Podpis odnosi się do całej treści formularza wraz z załączonymi do niego plikami". Ta reguła została powtórzona w zakładce: Pomoc &gt; Instrukcje i podręczniki &gt; Zakładanie konta użytkownika i załatwianie sprawy, w punkcie "Jak wysłać pismo".</w:t>
      </w:r>
    </w:p>
    <w:p w14:paraId="76E924CA" w14:textId="77777777" w:rsidR="00280A00" w:rsidRPr="00A03AB6" w:rsidRDefault="00280A00" w:rsidP="00A03AB6">
      <w:pPr>
        <w:spacing w:after="0"/>
        <w:jc w:val="both"/>
        <w:rPr>
          <w:rFonts w:ascii="Bookman Old Style" w:eastAsia="Times New Roman" w:hAnsi="Bookman Old Style" w:cs="Times New Roman"/>
          <w:lang w:eastAsia="pl-PL"/>
        </w:rPr>
      </w:pPr>
    </w:p>
    <w:p w14:paraId="693541A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Powyższe rozważania zaprzeczają stanowisku zajętemu w uchwale jakoby podstawowym celem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nie było zagwarantowanie skutecznego podpisywania pism, ale ich doręczanie przez podmiot publiczny lub do podmiotu publicznego. Naszym zadaniem, jeżeli platforma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zawiera funkcje związane z opatrywaniem dokumentu elektronicznego podpisem elektronicznym skorzystanie z tych funkcji w ramach tworzenia i obsługi dokumentów elektronicznych przez osoby fizyczne powinno wiązać się z akceptacją w zakresie skuteczności dokonania podpisu elektronicznego w ramach czynności procesowych dokonywanych przed sądem administracyjnym.</w:t>
      </w:r>
    </w:p>
    <w:p w14:paraId="3B24F28C" w14:textId="77777777" w:rsidR="00280A00" w:rsidRPr="00A03AB6" w:rsidRDefault="00280A00" w:rsidP="00A03AB6">
      <w:pPr>
        <w:spacing w:after="0"/>
        <w:jc w:val="both"/>
        <w:rPr>
          <w:rFonts w:ascii="Bookman Old Style" w:eastAsia="Times New Roman" w:hAnsi="Bookman Old Style" w:cs="Times New Roman"/>
          <w:lang w:eastAsia="pl-PL"/>
        </w:rPr>
      </w:pPr>
    </w:p>
    <w:p w14:paraId="1379ABE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4. W tym miejscu nasuwa się wątpliwość, jaki charakter ma wskazana instrukcja i czy jako regulacja nie mieszcząca się w katalogu źródeł powszechnie obowiązującego prawa może regulować zasady podpisywania dokumentu elektronicznego w postępowaniu </w:t>
      </w:r>
      <w:proofErr w:type="spellStart"/>
      <w:r w:rsidRPr="00A03AB6">
        <w:rPr>
          <w:rFonts w:ascii="Bookman Old Style" w:eastAsia="Times New Roman" w:hAnsi="Bookman Old Style" w:cs="Times New Roman"/>
          <w:lang w:eastAsia="pl-PL"/>
        </w:rPr>
        <w:t>sądowoadministracyjnym</w:t>
      </w:r>
      <w:proofErr w:type="spellEnd"/>
      <w:r w:rsidRPr="00A03AB6">
        <w:rPr>
          <w:rFonts w:ascii="Bookman Old Style" w:eastAsia="Times New Roman" w:hAnsi="Bookman Old Style" w:cs="Times New Roman"/>
          <w:lang w:eastAsia="pl-PL"/>
        </w:rPr>
        <w:t>.</w:t>
      </w:r>
    </w:p>
    <w:p w14:paraId="3DC42B29" w14:textId="77777777" w:rsidR="00280A00" w:rsidRPr="00A03AB6" w:rsidRDefault="00280A00" w:rsidP="00A03AB6">
      <w:pPr>
        <w:spacing w:after="0"/>
        <w:jc w:val="both"/>
        <w:rPr>
          <w:rFonts w:ascii="Bookman Old Style" w:eastAsia="Times New Roman" w:hAnsi="Bookman Old Style" w:cs="Times New Roman"/>
          <w:lang w:eastAsia="pl-PL"/>
        </w:rPr>
      </w:pPr>
    </w:p>
    <w:p w14:paraId="29B89BDD"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Naszym zdaniem Instrukcja dostępna na stronie internetowej www.epuap.gov.pl w zakresie dotyczącym wypełniania i wysyłania wniosku wraz z załącznikami zbudowana jest z tzw. norm technicznych. Współcześnie jako normy techniczne określa się reguły wskazujące zachowania człowieka w procesie jego działalności </w:t>
      </w:r>
      <w:r w:rsidRPr="00A03AB6">
        <w:rPr>
          <w:rFonts w:ascii="Bookman Old Style" w:eastAsia="Times New Roman" w:hAnsi="Bookman Old Style" w:cs="Times New Roman"/>
          <w:lang w:eastAsia="pl-PL"/>
        </w:rPr>
        <w:lastRenderedPageBreak/>
        <w:t>produkcyjnej, usługowej, technicznej i technologicznej związanej z posługiwaniem się aparaturą i urządzeniami dla osiągnięcia określonych celów produkcyjnych, usługowych oraz eksperymentów naukowych (Z. Muras, Podstawy prawa, Warszawa 2015, s. 10.).</w:t>
      </w:r>
    </w:p>
    <w:p w14:paraId="2A402A34" w14:textId="77777777" w:rsidR="00280A00" w:rsidRPr="00A03AB6" w:rsidRDefault="00280A00" w:rsidP="00A03AB6">
      <w:pPr>
        <w:spacing w:after="0"/>
        <w:jc w:val="both"/>
        <w:rPr>
          <w:rFonts w:ascii="Bookman Old Style" w:eastAsia="Times New Roman" w:hAnsi="Bookman Old Style" w:cs="Times New Roman"/>
          <w:lang w:eastAsia="pl-PL"/>
        </w:rPr>
      </w:pPr>
    </w:p>
    <w:p w14:paraId="7A9FDA3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Dla prawodawcy normy techniczne ujęte w akcie prawnym nie stanowią reguł istniejących subiektywnie, lecz są to reguły obiektywnie – celowościowego zachowania. Normy techniczne wskazują skutki praktyczne, które mogą być osiągnięte dzięki ich przestrzeganiu. Nie wskazują bowiem na to, że ma być wykonane działanie, ale jak ma być wykonane (C. Znamierowski, Oceny i normy, Warszawa 1957, s. 504). Tak rozumiane normy techniczne (dyrektywy techniczne) wprawdzie coś nakazują, ale robią to warunkowo, służebnie: nakazują coś czynić, jeśli się chce czy też jeśli się musi spowodować określony stan rzeczy (M. Zieliński, Z. Ziembiński, Uzasadnianie twierdzeń, ocen i norm w prawoznawstwie, Warszawa 1988, s. 60). Natomiast rezultatem niezachowania normy technicznej powinien być ujemny skutek praktyczny. W konsekwencji prawidłowo ustanowiona i naukowo uzasadniona norma techniczna wcześniej czy później dociera do świadomości ludzi jako reguła, której trzeba się podporządkować, jeśli nie chce się działać bezskutecznie.</w:t>
      </w:r>
    </w:p>
    <w:p w14:paraId="61835B33" w14:textId="77777777" w:rsidR="00280A00" w:rsidRPr="00A03AB6" w:rsidRDefault="00280A00" w:rsidP="00A03AB6">
      <w:pPr>
        <w:spacing w:after="0"/>
        <w:jc w:val="both"/>
        <w:rPr>
          <w:rFonts w:ascii="Bookman Old Style" w:eastAsia="Times New Roman" w:hAnsi="Bookman Old Style" w:cs="Times New Roman"/>
          <w:lang w:eastAsia="pl-PL"/>
        </w:rPr>
      </w:pPr>
    </w:p>
    <w:p w14:paraId="074EB10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Informatyzacja postępowania </w:t>
      </w:r>
      <w:proofErr w:type="spellStart"/>
      <w:r w:rsidRPr="00A03AB6">
        <w:rPr>
          <w:rFonts w:ascii="Bookman Old Style" w:eastAsia="Times New Roman" w:hAnsi="Bookman Old Style" w:cs="Times New Roman"/>
          <w:lang w:eastAsia="pl-PL"/>
        </w:rPr>
        <w:t>sądowoadministracyjnego</w:t>
      </w:r>
      <w:proofErr w:type="spellEnd"/>
      <w:r w:rsidRPr="00A03AB6">
        <w:rPr>
          <w:rFonts w:ascii="Bookman Old Style" w:eastAsia="Times New Roman" w:hAnsi="Bookman Old Style" w:cs="Times New Roman"/>
          <w:lang w:eastAsia="pl-PL"/>
        </w:rPr>
        <w:t xml:space="preserve"> wymusza zachowanie pewnych formuł postępowania zarówno przez sąd, jak i przez uczestników postępowania, np. pisma elektroniczne skierowane do sądu mogą być wnoszone tylko w odpowiedni sposób, za pomocą określonych urządzeń i systemów teleinformatycznych, często z wykorzystaniem formularzy udostępnianych w </w:t>
      </w:r>
      <w:proofErr w:type="spellStart"/>
      <w:r w:rsidRPr="00A03AB6">
        <w:rPr>
          <w:rFonts w:ascii="Bookman Old Style" w:eastAsia="Times New Roman" w:hAnsi="Bookman Old Style" w:cs="Times New Roman"/>
          <w:lang w:eastAsia="pl-PL"/>
        </w:rPr>
        <w:t>internecie</w:t>
      </w:r>
      <w:proofErr w:type="spellEnd"/>
      <w:r w:rsidRPr="00A03AB6">
        <w:rPr>
          <w:rFonts w:ascii="Bookman Old Style" w:eastAsia="Times New Roman" w:hAnsi="Bookman Old Style" w:cs="Times New Roman"/>
          <w:lang w:eastAsia="pl-PL"/>
        </w:rPr>
        <w:t xml:space="preserve">. Pisma muszą być ponadto sporządzane w odpowiednich formatach danych, umożliwiających sądowi oraz stronom postępowania ich odczytanie. Stąd też każda czynność w zinformatyzowanym postępowaniu </w:t>
      </w:r>
      <w:proofErr w:type="spellStart"/>
      <w:r w:rsidRPr="00A03AB6">
        <w:rPr>
          <w:rFonts w:ascii="Bookman Old Style" w:eastAsia="Times New Roman" w:hAnsi="Bookman Old Style" w:cs="Times New Roman"/>
          <w:lang w:eastAsia="pl-PL"/>
        </w:rPr>
        <w:t>sądowoadministracyjnym</w:t>
      </w:r>
      <w:proofErr w:type="spellEnd"/>
      <w:r w:rsidRPr="00A03AB6">
        <w:rPr>
          <w:rFonts w:ascii="Bookman Old Style" w:eastAsia="Times New Roman" w:hAnsi="Bookman Old Style" w:cs="Times New Roman"/>
          <w:lang w:eastAsia="pl-PL"/>
        </w:rPr>
        <w:t>, zarówno sądu, jak i uczestników postępowania, wymaga dostosowania się do określonych standardów technicznych, także wówczas gdy nie zostały one ujęte w szatę normy prawnej powszechnie obowiązującej.</w:t>
      </w:r>
    </w:p>
    <w:p w14:paraId="70EA6342" w14:textId="77777777" w:rsidR="00280A00" w:rsidRPr="00A03AB6" w:rsidRDefault="00280A00" w:rsidP="00A03AB6">
      <w:pPr>
        <w:spacing w:after="0"/>
        <w:jc w:val="both"/>
        <w:rPr>
          <w:rFonts w:ascii="Bookman Old Style" w:eastAsia="Times New Roman" w:hAnsi="Bookman Old Style" w:cs="Times New Roman"/>
          <w:lang w:eastAsia="pl-PL"/>
        </w:rPr>
      </w:pPr>
    </w:p>
    <w:p w14:paraId="6AEED5A2"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5. Definicję podpisu elektronicznego zawiera art. 3 pkt 10 Rozporządzenia Parlamentu Europejskiego i Rady (UE) Nr 910/2014 z dnia 23 lipca 2014 r. w sprawie identyfikacji elektronicznej i usług zaufania w odniesieniu do transakcji elektronicznych na rynku wewnętrznym oraz uchylające dyrektywę 1999/93/WE (</w:t>
      </w:r>
      <w:proofErr w:type="spellStart"/>
      <w:r w:rsidRPr="00A03AB6">
        <w:rPr>
          <w:rFonts w:ascii="Bookman Old Style" w:eastAsia="Times New Roman" w:hAnsi="Bookman Old Style" w:cs="Times New Roman"/>
          <w:lang w:eastAsia="pl-PL"/>
        </w:rPr>
        <w:t>eIDAS</w:t>
      </w:r>
      <w:proofErr w:type="spellEnd"/>
      <w:r w:rsidRPr="00A03AB6">
        <w:rPr>
          <w:rFonts w:ascii="Bookman Old Style" w:eastAsia="Times New Roman" w:hAnsi="Bookman Old Style" w:cs="Times New Roman"/>
          <w:lang w:eastAsia="pl-PL"/>
        </w:rPr>
        <w:t>). Zgodnie z tym przepisem "podpis elektroniczny" oznacza dane w postaci elektronicznej, które są dołączone lub logicznie powiązane z innymi danymi w postaci elektronicznej, i które użyte są przez podpisującego jako podpis.</w:t>
      </w:r>
    </w:p>
    <w:p w14:paraId="67868F07" w14:textId="77777777" w:rsidR="00280A00" w:rsidRPr="00A03AB6" w:rsidRDefault="00280A00" w:rsidP="00A03AB6">
      <w:pPr>
        <w:spacing w:after="0"/>
        <w:jc w:val="both"/>
        <w:rPr>
          <w:rFonts w:ascii="Bookman Old Style" w:eastAsia="Times New Roman" w:hAnsi="Bookman Old Style" w:cs="Times New Roman"/>
          <w:lang w:eastAsia="pl-PL"/>
        </w:rPr>
      </w:pPr>
    </w:p>
    <w:p w14:paraId="3029DE07"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Z kolei zgodnie z art. 3 pkt 14a ustawy o informatyzacji podpis elektroniczny to podpis, którego autentyczność i integralność są zapewniane przy użyciu pieczęci elektronicznej ministra właściwego do spraw informatyzacji. Do zapewnienia tej integralności zastosowano zaawansowaną pieczęć elektroniczną weryfikowaną za pomocą kwalifikowanego certyfikatu pieczęci elektronicznej.</w:t>
      </w:r>
    </w:p>
    <w:p w14:paraId="51378E41" w14:textId="77777777" w:rsidR="00280A00" w:rsidRPr="00A03AB6" w:rsidRDefault="00280A00" w:rsidP="00A03AB6">
      <w:pPr>
        <w:spacing w:after="0"/>
        <w:jc w:val="both"/>
        <w:rPr>
          <w:rFonts w:ascii="Bookman Old Style" w:eastAsia="Times New Roman" w:hAnsi="Bookman Old Style" w:cs="Times New Roman"/>
          <w:lang w:eastAsia="pl-PL"/>
        </w:rPr>
      </w:pPr>
    </w:p>
    <w:p w14:paraId="5B593A0A"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literaturze przyjmuje się, że podpis elektroniczny jest to plik komputerowy składający się z ciągu danych zapisanych najczęściej w oddzielnym pliku jako funkcja </w:t>
      </w:r>
      <w:r w:rsidRPr="00A03AB6">
        <w:rPr>
          <w:rFonts w:ascii="Bookman Old Style" w:eastAsia="Times New Roman" w:hAnsi="Bookman Old Style" w:cs="Times New Roman"/>
          <w:lang w:eastAsia="pl-PL"/>
        </w:rPr>
        <w:lastRenderedPageBreak/>
        <w:t>sygnowanego dokumentu elektronicznego (J. Janowski, Podpis elektroniczny w obrocie prawnym, Warszawa 2007, s. 47).</w:t>
      </w:r>
    </w:p>
    <w:p w14:paraId="09147717" w14:textId="77777777" w:rsidR="00280A00" w:rsidRPr="00A03AB6" w:rsidRDefault="00280A00" w:rsidP="00A03AB6">
      <w:pPr>
        <w:spacing w:after="0"/>
        <w:jc w:val="both"/>
        <w:rPr>
          <w:rFonts w:ascii="Bookman Old Style" w:eastAsia="Times New Roman" w:hAnsi="Bookman Old Style" w:cs="Times New Roman"/>
          <w:lang w:eastAsia="pl-PL"/>
        </w:rPr>
      </w:pPr>
    </w:p>
    <w:p w14:paraId="71295E9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6. Z uzasadnienia uchwały wynika wprost, że podpis jakim opatruje się pismo ogólne sporządzone z pomocą formularza w systemie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który jest podpisem zaufanym, obejmuje również załączniki dołączone do tego pisma, bez względu na format tego załącznika.</w:t>
      </w:r>
    </w:p>
    <w:p w14:paraId="5B1E60EE" w14:textId="77777777" w:rsidR="00280A00" w:rsidRPr="00A03AB6" w:rsidRDefault="00280A00" w:rsidP="00A03AB6">
      <w:pPr>
        <w:spacing w:after="0"/>
        <w:jc w:val="both"/>
        <w:rPr>
          <w:rFonts w:ascii="Bookman Old Style" w:eastAsia="Times New Roman" w:hAnsi="Bookman Old Style" w:cs="Times New Roman"/>
          <w:lang w:eastAsia="pl-PL"/>
        </w:rPr>
      </w:pPr>
    </w:p>
    <w:p w14:paraId="37796C6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Ponadto z uzasadnienia uchwały wynika również, że mając na względzie zasady wnoszenia pism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zarówno pismo ogólne, jak i załączoną do niego skargę można uznać za podpisane podpisem zaufanym jedynie w znaczeniu technicznym, co potwierdza instrukcja do tej platformy. Nie oznacza to jednak, że mamy do czynienia z dokumentami elektronicznymi zawierającymi prawnie skuteczny podpis. Ponadto, nie ulega wątpliwości, że wyodrębnienie pliku załącznika z dokumentu XML pozbawia ten załącznik waloru podpisanego dokumentu elektronicznego.</w:t>
      </w:r>
    </w:p>
    <w:p w14:paraId="484021AD" w14:textId="77777777" w:rsidR="00280A00" w:rsidRPr="00A03AB6" w:rsidRDefault="00280A00" w:rsidP="00A03AB6">
      <w:pPr>
        <w:spacing w:after="0"/>
        <w:jc w:val="both"/>
        <w:rPr>
          <w:rFonts w:ascii="Bookman Old Style" w:eastAsia="Times New Roman" w:hAnsi="Bookman Old Style" w:cs="Times New Roman"/>
          <w:lang w:eastAsia="pl-PL"/>
        </w:rPr>
      </w:pPr>
    </w:p>
    <w:p w14:paraId="5F58D285"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Powyższe spostrzeżenia prowadzą do wniosku, że w uzasadnieniu uchwały Naczelny Sąd Administracyjny wyodrębnił podpisanie pisma w znaczeniu technicznym, zastrzegając, że nie oznacza jednak, iż dokument elektroniczny zawiera prawnie skuteczny podpis. W tym miejscu należy zatem postawić pytanie, od czego zależy prawna skuteczność dokonania tego podpisu, co jest jej wyznacznikiem i podstawą prawną. W uzasadnieniu uchwały Naczelny Sąd Administracyjny nie wskazał, jaki przepis decyduje o prawnej skuteczności tego podpisu, a z całą pewnością nie zawierają takiej regulacji przepisy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w tym art. 46 § 2a i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w:t>
      </w:r>
    </w:p>
    <w:p w14:paraId="6D912F00" w14:textId="77777777" w:rsidR="00280A00" w:rsidRPr="00A03AB6" w:rsidRDefault="00280A00" w:rsidP="00A03AB6">
      <w:pPr>
        <w:spacing w:after="0"/>
        <w:jc w:val="both"/>
        <w:rPr>
          <w:rFonts w:ascii="Bookman Old Style" w:eastAsia="Times New Roman" w:hAnsi="Bookman Old Style" w:cs="Times New Roman"/>
          <w:lang w:eastAsia="pl-PL"/>
        </w:rPr>
      </w:pPr>
    </w:p>
    <w:p w14:paraId="75C50869"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Naszym zdaniem, mając na względzie zasady wnoszenia pism za pośrednictwem platformy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zarówno pismo ogólne, jak i załączoną do niego skargę można uznać za podpisane podpisem elektronicznym w znaczeniu art. 3 pkt 10 rozporządzenia </w:t>
      </w:r>
      <w:proofErr w:type="spellStart"/>
      <w:r w:rsidRPr="00A03AB6">
        <w:rPr>
          <w:rFonts w:ascii="Bookman Old Style" w:eastAsia="Times New Roman" w:hAnsi="Bookman Old Style" w:cs="Times New Roman"/>
          <w:lang w:eastAsia="pl-PL"/>
        </w:rPr>
        <w:t>eIDAS</w:t>
      </w:r>
      <w:proofErr w:type="spellEnd"/>
      <w:r w:rsidRPr="00A03AB6">
        <w:rPr>
          <w:rFonts w:ascii="Bookman Old Style" w:eastAsia="Times New Roman" w:hAnsi="Bookman Old Style" w:cs="Times New Roman"/>
          <w:lang w:eastAsia="pl-PL"/>
        </w:rPr>
        <w:t xml:space="preserve"> oraz art. 3 pkt 14a ustawy o informatyzacji. W konsekwencji mamy tu do czynienia z podpisami skutecznymi prawnie (podpisem tym są dane w postaci elektronicznej, które są co najmniej logicznie powiązane z danymi elektronicznymi tworzącymi pismo przewodnie jak i dołączoną do niego skargą i zostały użyte przez osobę podpisującą jako podpis). Na marginesie dodać należy, że Naczelny Sąd Administracyjny w uchwale nie zakwestionował zgodności podpisania w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pisma ogólnego, jak i załączonej do niego skargi z art. 3 pkt 10 rozporządzenia </w:t>
      </w:r>
      <w:proofErr w:type="spellStart"/>
      <w:r w:rsidRPr="00A03AB6">
        <w:rPr>
          <w:rFonts w:ascii="Bookman Old Style" w:eastAsia="Times New Roman" w:hAnsi="Bookman Old Style" w:cs="Times New Roman"/>
          <w:lang w:eastAsia="pl-PL"/>
        </w:rPr>
        <w:t>eIDAS</w:t>
      </w:r>
      <w:proofErr w:type="spellEnd"/>
      <w:r w:rsidRPr="00A03AB6">
        <w:rPr>
          <w:rFonts w:ascii="Bookman Old Style" w:eastAsia="Times New Roman" w:hAnsi="Bookman Old Style" w:cs="Times New Roman"/>
          <w:lang w:eastAsia="pl-PL"/>
        </w:rPr>
        <w:t xml:space="preserve"> oraz z art. 3 pkt 14a ustawy o informatyzacji. A tylko w takim przypadku dopuszczalne jest stanowisko zaprezentowane w Uchwale odnoszące się do kwestii prawnej skuteczności podpisu, a w zasadzie jej braku.</w:t>
      </w:r>
    </w:p>
    <w:p w14:paraId="22E09643"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1CF15465" w14:textId="77777777" w:rsidR="00280A00" w:rsidRPr="00A03AB6" w:rsidRDefault="00280A00" w:rsidP="00A03AB6">
      <w:pPr>
        <w:spacing w:after="0"/>
        <w:jc w:val="both"/>
        <w:rPr>
          <w:rFonts w:ascii="Bookman Old Style" w:eastAsia="Times New Roman" w:hAnsi="Bookman Old Style" w:cs="Times New Roman"/>
          <w:lang w:eastAsia="pl-PL"/>
        </w:rPr>
      </w:pPr>
    </w:p>
    <w:p w14:paraId="713F682D"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8. W dalszej kolejności można dojść do wniosku, że u podstaw zaistniałego sporu w zakresie wykładni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legło utożsamianie załącznika, o którym mowa w tym przepisie z załącznikiem, o którym mowa w dokumencie pomocy zamieszczonym na stronie internetowej www.epuap.gov.pl, czyli w Instrukcji. Jak już bowiem zaznaczono z dokumentu tego wynika, że użytkownik może również pobrać załączniki z dysku i wysłać je wraz z wypełnionym formularzem do urzędu. Jeśli chce </w:t>
      </w:r>
      <w:r w:rsidRPr="00A03AB6">
        <w:rPr>
          <w:rFonts w:ascii="Bookman Old Style" w:eastAsia="Times New Roman" w:hAnsi="Bookman Old Style" w:cs="Times New Roman"/>
          <w:lang w:eastAsia="pl-PL"/>
        </w:rPr>
        <w:lastRenderedPageBreak/>
        <w:t>dodać załącznik klika na symbol zielonego plusa, następnie wybiera ścieżkę do miejsca, w którym umieszczony jest wybrany plik a na końcu wpisuje opis załącznika.</w:t>
      </w:r>
    </w:p>
    <w:p w14:paraId="288C7D1C" w14:textId="77777777" w:rsidR="00280A00" w:rsidRPr="00A03AB6" w:rsidRDefault="00280A00" w:rsidP="00A03AB6">
      <w:pPr>
        <w:spacing w:after="0"/>
        <w:jc w:val="both"/>
        <w:rPr>
          <w:rFonts w:ascii="Bookman Old Style" w:eastAsia="Times New Roman" w:hAnsi="Bookman Old Style" w:cs="Times New Roman"/>
          <w:lang w:eastAsia="pl-PL"/>
        </w:rPr>
      </w:pPr>
    </w:p>
    <w:p w14:paraId="30A87144"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W tym miejscu zasadne jest zwrócenie uwagi na odmienne znaczenie pojęcia "załącznika" w rozumieniu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oraz "załącznika" w rozumieniu wynikającym z dokumentu pomocy (Instrukcji). W art. 46 w związku z art. 47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mowa jest o załączniku do pisma wnoszonego do sądu administracyjnego (w tej sprawie - skargi). Jest to załącznik o znaczeniu procesowym. Z kolei w dokumencie pomocy mowa jest wyłącznie o załączniku do formularza. Tu załącznikiem do formularza jest plik danych (komputerowy). Są to zatem całkowicie odrębne reguły postępowania, które używają pojęcia "załącznik" w zupełnie różnym znaczeniu.</w:t>
      </w:r>
    </w:p>
    <w:p w14:paraId="490E0C3A" w14:textId="77777777" w:rsidR="00280A00" w:rsidRPr="00A03AB6" w:rsidRDefault="00280A00" w:rsidP="00A03AB6">
      <w:pPr>
        <w:spacing w:after="0"/>
        <w:jc w:val="both"/>
        <w:rPr>
          <w:rFonts w:ascii="Bookman Old Style" w:eastAsia="Times New Roman" w:hAnsi="Bookman Old Style" w:cs="Times New Roman"/>
          <w:lang w:eastAsia="pl-PL"/>
        </w:rPr>
      </w:pPr>
    </w:p>
    <w:p w14:paraId="3AF7F4B2"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Naszym zdaniem art. 46 § 2a i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reguluje materię całkowicie odrębną od przedmiotu regulowanego Instrukcją i zasadami wysyłania pism z wykorzystaniem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Uznanie, że skarga jest załącznikiem do pisma ogólnego w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w żadnym wypadku nie stanowi, jak przyjęto w uchwale, odwrócenia zasad obowiązujących w postępowaniu przed sądami administracyjnymi. Nie mamy w tej sytuacji również do czynienia z interpretowaniem przepisów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przez pryzmat warunków technicznych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Otóż regulacje te w żadnym miejscu nie nakładają się na siebie, a także nie krzyżują się. Doszukując się jakiegokolwiek związku pomiędzy nimi, można wskazać na to, że Instrukcja zawiera normy techniczne służące do realizacji postanowień art. 46 § 2a i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w:t>
      </w:r>
    </w:p>
    <w:p w14:paraId="55733285" w14:textId="77777777" w:rsidR="00280A00" w:rsidRPr="00A03AB6" w:rsidRDefault="00280A00" w:rsidP="00A03AB6">
      <w:pPr>
        <w:spacing w:after="0"/>
        <w:jc w:val="both"/>
        <w:rPr>
          <w:rFonts w:ascii="Bookman Old Style" w:eastAsia="Times New Roman" w:hAnsi="Bookman Old Style" w:cs="Times New Roman"/>
          <w:lang w:eastAsia="pl-PL"/>
        </w:rPr>
      </w:pPr>
    </w:p>
    <w:p w14:paraId="3F65FAB3"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Skarga do sądu administracyjnego z natury rzeczy nie może być jednocześnie załącznikiem w rozumieniu art. 46 § 2b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xml:space="preserve">. Ta sama skarga może natomiast być załącznikiem do formularza dostępnego w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w:t>
      </w:r>
    </w:p>
    <w:p w14:paraId="464F6B76" w14:textId="77777777" w:rsidR="00280A00" w:rsidRPr="00A03AB6" w:rsidRDefault="00280A00" w:rsidP="00A03AB6">
      <w:pPr>
        <w:spacing w:after="0"/>
        <w:jc w:val="both"/>
        <w:rPr>
          <w:rFonts w:ascii="Bookman Old Style" w:eastAsia="Times New Roman" w:hAnsi="Bookman Old Style" w:cs="Times New Roman"/>
          <w:lang w:eastAsia="pl-PL"/>
        </w:rPr>
      </w:pPr>
    </w:p>
    <w:p w14:paraId="6FDA5DD0" w14:textId="77777777" w:rsidR="00280A00" w:rsidRPr="00A03AB6" w:rsidRDefault="00280A00"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Skoro zatem załącznik do formularza w systemie </w:t>
      </w:r>
      <w:proofErr w:type="spellStart"/>
      <w:r w:rsidRPr="00A03AB6">
        <w:rPr>
          <w:rFonts w:ascii="Bookman Old Style" w:eastAsia="Times New Roman" w:hAnsi="Bookman Old Style" w:cs="Times New Roman"/>
          <w:lang w:eastAsia="pl-PL"/>
        </w:rPr>
        <w:t>ePUAP</w:t>
      </w:r>
      <w:proofErr w:type="spellEnd"/>
      <w:r w:rsidRPr="00A03AB6">
        <w:rPr>
          <w:rFonts w:ascii="Bookman Old Style" w:eastAsia="Times New Roman" w:hAnsi="Bookman Old Style" w:cs="Times New Roman"/>
          <w:lang w:eastAsia="pl-PL"/>
        </w:rPr>
        <w:t xml:space="preserve"> będący pismem procesowym na gruncie postępowania </w:t>
      </w:r>
      <w:proofErr w:type="spellStart"/>
      <w:r w:rsidRPr="00A03AB6">
        <w:rPr>
          <w:rFonts w:ascii="Bookman Old Style" w:eastAsia="Times New Roman" w:hAnsi="Bookman Old Style" w:cs="Times New Roman"/>
          <w:lang w:eastAsia="pl-PL"/>
        </w:rPr>
        <w:t>sądowoadministracyjnego</w:t>
      </w:r>
      <w:proofErr w:type="spellEnd"/>
      <w:r w:rsidRPr="00A03AB6">
        <w:rPr>
          <w:rFonts w:ascii="Bookman Old Style" w:eastAsia="Times New Roman" w:hAnsi="Bookman Old Style" w:cs="Times New Roman"/>
          <w:lang w:eastAsia="pl-PL"/>
        </w:rPr>
        <w:t xml:space="preserve"> został skutecznie podpisany (w myśl zapewnień Centralnego Ośrodka Informatyki) oznacza to, że został wypełniony warunek przewidziany w art. 46 § 2a </w:t>
      </w:r>
      <w:proofErr w:type="spellStart"/>
      <w:r w:rsidRPr="00A03AB6">
        <w:rPr>
          <w:rFonts w:ascii="Bookman Old Style" w:eastAsia="Times New Roman" w:hAnsi="Bookman Old Style" w:cs="Times New Roman"/>
          <w:lang w:eastAsia="pl-PL"/>
        </w:rPr>
        <w:t>p.p.s.a</w:t>
      </w:r>
      <w:proofErr w:type="spellEnd"/>
      <w:r w:rsidRPr="00A03AB6">
        <w:rPr>
          <w:rFonts w:ascii="Bookman Old Style" w:eastAsia="Times New Roman" w:hAnsi="Bookman Old Style" w:cs="Times New Roman"/>
          <w:lang w:eastAsia="pl-PL"/>
        </w:rPr>
        <w:t>., a mianowicie pismo (skarga) zostało podpisane określonym podpisem elektronicznym.</w:t>
      </w:r>
    </w:p>
    <w:p w14:paraId="68885683" w14:textId="77777777" w:rsidR="0015258B" w:rsidRPr="00A03AB6" w:rsidRDefault="0015258B" w:rsidP="00A03AB6">
      <w:pPr>
        <w:spacing w:after="0"/>
        <w:jc w:val="both"/>
        <w:rPr>
          <w:rFonts w:ascii="Bookman Old Style" w:eastAsia="Times New Roman" w:hAnsi="Bookman Old Style" w:cs="Times New Roman"/>
          <w:b/>
          <w:color w:val="FF0000"/>
          <w:lang w:eastAsia="pl-PL"/>
        </w:rPr>
      </w:pPr>
    </w:p>
    <w:p w14:paraId="516BBC6D" w14:textId="51C99CF2" w:rsidR="0015258B" w:rsidRPr="00A03AB6" w:rsidRDefault="005A1ABA"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color w:val="FF0000"/>
          <w:lang w:eastAsia="pl-PL"/>
        </w:rPr>
        <w:t>Orzeczenia</w:t>
      </w:r>
      <w:r w:rsidR="00254C3C" w:rsidRPr="00A03AB6">
        <w:rPr>
          <w:rFonts w:ascii="Bookman Old Style" w:eastAsia="Times New Roman" w:hAnsi="Bookman Old Style" w:cs="Times New Roman"/>
          <w:b/>
          <w:color w:val="FF0000"/>
          <w:lang w:eastAsia="pl-PL"/>
        </w:rPr>
        <w:t xml:space="preserve"> powiązane</w:t>
      </w:r>
    </w:p>
    <w:p w14:paraId="55D65535" w14:textId="5C921FB7" w:rsidR="005A1ABA" w:rsidRPr="00A03AB6" w:rsidRDefault="005A1ABA"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orzeczenia zgodne z komentowaną uchwałą</w:t>
      </w:r>
      <w:r w:rsidR="00D161C7" w:rsidRPr="00A03AB6">
        <w:rPr>
          <w:rStyle w:val="info-list-value-uzasadnienie"/>
          <w:rFonts w:ascii="Bookman Old Style" w:hAnsi="Bookman Old Style"/>
        </w:rPr>
        <w:t>:</w:t>
      </w:r>
    </w:p>
    <w:p w14:paraId="56A73620" w14:textId="77777777" w:rsidR="003339F9" w:rsidRPr="00A03AB6" w:rsidRDefault="003339F9"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postanowienie NSA z 9 października 2020 r. sygn. akt I OZ 814/20</w:t>
      </w:r>
    </w:p>
    <w:p w14:paraId="7E2C9670" w14:textId="77777777" w:rsidR="003339F9" w:rsidRPr="00A03AB6" w:rsidRDefault="003339F9"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postanowienie NSA z 29 października 2020 r., sygn. akt </w:t>
      </w:r>
      <w:hyperlink r:id="rId25" w:anchor="/document/523253754?cm=DOCUMENT" w:history="1">
        <w:r w:rsidRPr="00A03AB6">
          <w:rPr>
            <w:rStyle w:val="info-list-value-uzasadnienie"/>
            <w:rFonts w:ascii="Bookman Old Style" w:hAnsi="Bookman Old Style"/>
          </w:rPr>
          <w:t>I OZ 814/20</w:t>
        </w:r>
      </w:hyperlink>
    </w:p>
    <w:p w14:paraId="545FE4E0" w14:textId="77777777" w:rsidR="00D161C7" w:rsidRPr="00A03AB6" w:rsidRDefault="003339F9"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postanowienie NSA z 26 listopada 2020 r. sygn. akt </w:t>
      </w:r>
      <w:hyperlink r:id="rId26" w:anchor="/document/523187326?cm=DOCUMENT" w:history="1">
        <w:r w:rsidRPr="00A03AB6">
          <w:rPr>
            <w:rStyle w:val="info-list-value-uzasadnienie"/>
            <w:rFonts w:ascii="Bookman Old Style" w:hAnsi="Bookman Old Style"/>
          </w:rPr>
          <w:t>I OZ 938/20</w:t>
        </w:r>
      </w:hyperlink>
      <w:r w:rsidRPr="00A03AB6">
        <w:rPr>
          <w:rStyle w:val="info-list-value-uzasadnienie"/>
          <w:rFonts w:ascii="Bookman Old Style" w:hAnsi="Bookman Old Style"/>
        </w:rPr>
        <w:t> i </w:t>
      </w:r>
      <w:proofErr w:type="spellStart"/>
      <w:r w:rsidR="00535DA7" w:rsidRPr="00A03AB6">
        <w:rPr>
          <w:rFonts w:ascii="Bookman Old Style" w:hAnsi="Bookman Old Style"/>
        </w:rPr>
        <w:fldChar w:fldCharType="begin"/>
      </w:r>
      <w:r w:rsidR="00535DA7" w:rsidRPr="00A03AB6">
        <w:rPr>
          <w:rFonts w:ascii="Bookman Old Style" w:hAnsi="Bookman Old Style"/>
        </w:rPr>
        <w:instrText xml:space="preserve"> HYPERLINK "https://sip.lex.pl/" \l "/document/523186931?cm=DOCUMENT" </w:instrText>
      </w:r>
      <w:r w:rsidR="00535DA7" w:rsidRPr="00A03AB6">
        <w:rPr>
          <w:rFonts w:ascii="Bookman Old Style" w:hAnsi="Bookman Old Style"/>
        </w:rPr>
        <w:fldChar w:fldCharType="separate"/>
      </w:r>
      <w:r w:rsidRPr="00A03AB6">
        <w:rPr>
          <w:rStyle w:val="info-list-value-uzasadnienie"/>
          <w:rFonts w:ascii="Bookman Old Style" w:hAnsi="Bookman Old Style"/>
        </w:rPr>
        <w:t>I</w:t>
      </w:r>
      <w:proofErr w:type="spellEnd"/>
      <w:r w:rsidRPr="00A03AB6">
        <w:rPr>
          <w:rStyle w:val="info-list-value-uzasadnienie"/>
          <w:rFonts w:ascii="Bookman Old Style" w:hAnsi="Bookman Old Style"/>
        </w:rPr>
        <w:t xml:space="preserve"> OZ 987/20</w:t>
      </w:r>
      <w:r w:rsidR="00535DA7" w:rsidRPr="00A03AB6">
        <w:rPr>
          <w:rStyle w:val="info-list-value-uzasadnienie"/>
          <w:rFonts w:ascii="Bookman Old Style" w:hAnsi="Bookman Old Style"/>
        </w:rPr>
        <w:fldChar w:fldCharType="end"/>
      </w:r>
      <w:r w:rsidRPr="00A03AB6">
        <w:rPr>
          <w:rStyle w:val="info-list-value-uzasadnienie"/>
          <w:rFonts w:ascii="Bookman Old Style" w:hAnsi="Bookman Old Style"/>
        </w:rPr>
        <w:t xml:space="preserve">, </w:t>
      </w:r>
    </w:p>
    <w:p w14:paraId="49F1056D" w14:textId="77777777" w:rsidR="00D161C7" w:rsidRPr="00A03AB6" w:rsidRDefault="00D161C7"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 xml:space="preserve">postanowienie NSA z </w:t>
      </w:r>
      <w:r w:rsidR="003339F9" w:rsidRPr="00A03AB6">
        <w:rPr>
          <w:rStyle w:val="info-list-value-uzasadnienie"/>
          <w:rFonts w:ascii="Bookman Old Style" w:hAnsi="Bookman Old Style"/>
        </w:rPr>
        <w:t>9 grudnia 2020 r. sygn. akt </w:t>
      </w:r>
      <w:hyperlink r:id="rId27" w:anchor="/document/523187352?cm=DOCUMENT" w:history="1">
        <w:r w:rsidR="003339F9" w:rsidRPr="00A03AB6">
          <w:rPr>
            <w:rStyle w:val="info-list-value-uzasadnienie"/>
            <w:rFonts w:ascii="Bookman Old Style" w:hAnsi="Bookman Old Style"/>
          </w:rPr>
          <w:t>I OZ 1032/20</w:t>
        </w:r>
      </w:hyperlink>
      <w:r w:rsidR="003339F9" w:rsidRPr="00A03AB6">
        <w:rPr>
          <w:rStyle w:val="info-list-value-uzasadnienie"/>
          <w:rFonts w:ascii="Bookman Old Style" w:hAnsi="Bookman Old Style"/>
        </w:rPr>
        <w:t xml:space="preserve">, </w:t>
      </w:r>
    </w:p>
    <w:p w14:paraId="170E98E3" w14:textId="77777777" w:rsidR="00D161C7" w:rsidRPr="00A03AB6" w:rsidRDefault="00D161C7"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 xml:space="preserve">postanowienie NSA z </w:t>
      </w:r>
      <w:r w:rsidR="003339F9" w:rsidRPr="00A03AB6">
        <w:rPr>
          <w:rStyle w:val="info-list-value-uzasadnienie"/>
          <w:rFonts w:ascii="Bookman Old Style" w:hAnsi="Bookman Old Style"/>
        </w:rPr>
        <w:t>11 grudnia 2020 r. sygn. akt i </w:t>
      </w:r>
      <w:proofErr w:type="spellStart"/>
      <w:r w:rsidR="00535DA7" w:rsidRPr="00A03AB6">
        <w:rPr>
          <w:rFonts w:ascii="Bookman Old Style" w:hAnsi="Bookman Old Style"/>
        </w:rPr>
        <w:fldChar w:fldCharType="begin"/>
      </w:r>
      <w:r w:rsidR="00535DA7" w:rsidRPr="00A03AB6">
        <w:rPr>
          <w:rFonts w:ascii="Bookman Old Style" w:hAnsi="Bookman Old Style"/>
        </w:rPr>
        <w:instrText xml:space="preserve"> HYPERLINK "https://sip.lex.pl/" \l "/document/523200328?cm=DOCUMENT" </w:instrText>
      </w:r>
      <w:r w:rsidR="00535DA7" w:rsidRPr="00A03AB6">
        <w:rPr>
          <w:rFonts w:ascii="Bookman Old Style" w:hAnsi="Bookman Old Style"/>
        </w:rPr>
        <w:fldChar w:fldCharType="separate"/>
      </w:r>
      <w:r w:rsidR="003339F9" w:rsidRPr="00A03AB6">
        <w:rPr>
          <w:rStyle w:val="info-list-value-uzasadnienie"/>
          <w:rFonts w:ascii="Bookman Old Style" w:hAnsi="Bookman Old Style"/>
        </w:rPr>
        <w:t>I</w:t>
      </w:r>
      <w:proofErr w:type="spellEnd"/>
      <w:r w:rsidR="003339F9" w:rsidRPr="00A03AB6">
        <w:rPr>
          <w:rStyle w:val="info-list-value-uzasadnienie"/>
          <w:rFonts w:ascii="Bookman Old Style" w:hAnsi="Bookman Old Style"/>
        </w:rPr>
        <w:t xml:space="preserve"> OZ 1003/20</w:t>
      </w:r>
      <w:r w:rsidR="00535DA7" w:rsidRPr="00A03AB6">
        <w:rPr>
          <w:rStyle w:val="info-list-value-uzasadnienie"/>
          <w:rFonts w:ascii="Bookman Old Style" w:hAnsi="Bookman Old Style"/>
        </w:rPr>
        <w:fldChar w:fldCharType="end"/>
      </w:r>
      <w:r w:rsidR="003339F9" w:rsidRPr="00A03AB6">
        <w:rPr>
          <w:rStyle w:val="info-list-value-uzasadnienie"/>
          <w:rFonts w:ascii="Bookman Old Style" w:hAnsi="Bookman Old Style"/>
        </w:rPr>
        <w:t xml:space="preserve">, </w:t>
      </w:r>
    </w:p>
    <w:p w14:paraId="1B4FA6F1" w14:textId="77777777" w:rsidR="00D161C7" w:rsidRPr="00A03AB6" w:rsidRDefault="00D161C7"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 xml:space="preserve">postanowienie NSA z </w:t>
      </w:r>
      <w:r w:rsidR="003339F9" w:rsidRPr="00A03AB6">
        <w:rPr>
          <w:rStyle w:val="info-list-value-uzasadnienie"/>
          <w:rFonts w:ascii="Bookman Old Style" w:hAnsi="Bookman Old Style"/>
        </w:rPr>
        <w:t>15 grudnia 2020 r. sygn. akt </w:t>
      </w:r>
      <w:hyperlink r:id="rId28" w:anchor="/document/523187433?cm=DOCUMENT" w:history="1">
        <w:r w:rsidR="003339F9" w:rsidRPr="00A03AB6">
          <w:rPr>
            <w:rStyle w:val="info-list-value-uzasadnienie"/>
            <w:rFonts w:ascii="Bookman Old Style" w:hAnsi="Bookman Old Style"/>
          </w:rPr>
          <w:t>I OZ 1048/20</w:t>
        </w:r>
      </w:hyperlink>
      <w:r w:rsidR="003339F9" w:rsidRPr="00A03AB6">
        <w:rPr>
          <w:rStyle w:val="info-list-value-uzasadnienie"/>
          <w:rFonts w:ascii="Bookman Old Style" w:hAnsi="Bookman Old Style"/>
        </w:rPr>
        <w:t xml:space="preserve">, </w:t>
      </w:r>
    </w:p>
    <w:p w14:paraId="13A4B396" w14:textId="14820F50" w:rsidR="005A1ABA" w:rsidRPr="00A03AB6" w:rsidRDefault="00D161C7"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 xml:space="preserve">postanowienie NSA z </w:t>
      </w:r>
      <w:r w:rsidR="003339F9" w:rsidRPr="00A03AB6">
        <w:rPr>
          <w:rStyle w:val="info-list-value-uzasadnienie"/>
          <w:rFonts w:ascii="Bookman Old Style" w:hAnsi="Bookman Old Style"/>
        </w:rPr>
        <w:t>22 marca 2021 r., sygn. akt </w:t>
      </w:r>
      <w:hyperlink r:id="rId29" w:anchor="/document/523252650?cm=DOCUMENT" w:history="1">
        <w:r w:rsidR="003339F9" w:rsidRPr="00A03AB6">
          <w:rPr>
            <w:rStyle w:val="info-list-value-uzasadnienie"/>
            <w:rFonts w:ascii="Bookman Old Style" w:hAnsi="Bookman Old Style"/>
          </w:rPr>
          <w:t>III OZ 77/21</w:t>
        </w:r>
      </w:hyperlink>
    </w:p>
    <w:p w14:paraId="12918FF2" w14:textId="77777777" w:rsidR="005A1ABA" w:rsidRPr="00A03AB6" w:rsidRDefault="005A1ABA" w:rsidP="00A03AB6">
      <w:pPr>
        <w:spacing w:after="0"/>
        <w:jc w:val="both"/>
        <w:rPr>
          <w:rStyle w:val="info-list-value-uzasadnienie"/>
          <w:rFonts w:ascii="Bookman Old Style" w:hAnsi="Bookman Old Style"/>
        </w:rPr>
      </w:pPr>
    </w:p>
    <w:p w14:paraId="754BE2D2" w14:textId="6CD79D66" w:rsidR="005A1ABA" w:rsidRPr="00A03AB6" w:rsidRDefault="005A1ABA" w:rsidP="00A03AB6">
      <w:pPr>
        <w:spacing w:after="0"/>
        <w:jc w:val="both"/>
        <w:rPr>
          <w:rStyle w:val="info-list-value-uzasadnienie"/>
          <w:rFonts w:ascii="Bookman Old Style" w:hAnsi="Bookman Old Style"/>
        </w:rPr>
      </w:pPr>
      <w:r w:rsidRPr="00A03AB6">
        <w:rPr>
          <w:rStyle w:val="info-list-value-uzasadnienie"/>
          <w:rFonts w:ascii="Bookman Old Style" w:hAnsi="Bookman Old Style"/>
        </w:rPr>
        <w:t>orzeczenia niezgodne z komentowaną uchwałą</w:t>
      </w:r>
      <w:r w:rsidR="00D161C7" w:rsidRPr="00A03AB6">
        <w:rPr>
          <w:rStyle w:val="info-list-value-uzasadnienie"/>
          <w:rFonts w:ascii="Bookman Old Style" w:hAnsi="Bookman Old Style"/>
        </w:rPr>
        <w:t>:</w:t>
      </w:r>
    </w:p>
    <w:p w14:paraId="308A32DF" w14:textId="77777777" w:rsidR="005A1ABA" w:rsidRPr="00A03AB6" w:rsidRDefault="005A1ABA" w:rsidP="00A03AB6">
      <w:pPr>
        <w:spacing w:after="0"/>
        <w:jc w:val="both"/>
        <w:rPr>
          <w:rStyle w:val="info-list-value-uzasadnienie"/>
          <w:rFonts w:ascii="Bookman Old Style" w:hAnsi="Bookman Old Style"/>
        </w:rPr>
      </w:pPr>
    </w:p>
    <w:p w14:paraId="2A09D815" w14:textId="77777777" w:rsidR="00D161C7" w:rsidRPr="00A03AB6" w:rsidRDefault="00D161C7" w:rsidP="00A03AB6">
      <w:pPr>
        <w:spacing w:after="0"/>
        <w:jc w:val="both"/>
        <w:rPr>
          <w:rFonts w:ascii="Bookman Old Style" w:hAnsi="Bookman Old Style"/>
        </w:rPr>
      </w:pPr>
      <w:r w:rsidRPr="00A03AB6">
        <w:rPr>
          <w:rFonts w:ascii="Bookman Old Style" w:hAnsi="Bookman Old Style"/>
        </w:rPr>
        <w:t xml:space="preserve">postanowienie NSA </w:t>
      </w:r>
      <w:r w:rsidR="006F3772" w:rsidRPr="00A03AB6">
        <w:rPr>
          <w:rFonts w:ascii="Bookman Old Style" w:hAnsi="Bookman Old Style"/>
        </w:rPr>
        <w:t>z 16 czerwca 2</w:t>
      </w:r>
      <w:r w:rsidRPr="00A03AB6">
        <w:rPr>
          <w:rFonts w:ascii="Bookman Old Style" w:hAnsi="Bookman Old Style"/>
        </w:rPr>
        <w:t>020 r., sygn. akt II OZ 275/20</w:t>
      </w:r>
    </w:p>
    <w:p w14:paraId="7927A189" w14:textId="77777777" w:rsidR="00D161C7" w:rsidRPr="00A03AB6" w:rsidRDefault="00D161C7" w:rsidP="00A03AB6">
      <w:pPr>
        <w:spacing w:after="0"/>
        <w:jc w:val="both"/>
        <w:rPr>
          <w:rFonts w:ascii="Bookman Old Style" w:hAnsi="Bookman Old Style"/>
        </w:rPr>
      </w:pPr>
      <w:r w:rsidRPr="00A03AB6">
        <w:rPr>
          <w:rFonts w:ascii="Bookman Old Style" w:hAnsi="Bookman Old Style"/>
        </w:rPr>
        <w:t xml:space="preserve">postanowienie NSA </w:t>
      </w:r>
      <w:r w:rsidR="006F3772" w:rsidRPr="00A03AB6">
        <w:rPr>
          <w:rFonts w:ascii="Bookman Old Style" w:hAnsi="Bookman Old Style"/>
        </w:rPr>
        <w:t xml:space="preserve">z 29 października </w:t>
      </w:r>
      <w:r w:rsidRPr="00A03AB6">
        <w:rPr>
          <w:rFonts w:ascii="Bookman Old Style" w:hAnsi="Bookman Old Style"/>
        </w:rPr>
        <w:t>2020 r., sygn. akt I OZ 815/20</w:t>
      </w:r>
    </w:p>
    <w:p w14:paraId="0E8AC526" w14:textId="6F706CB4" w:rsidR="00D346C4" w:rsidRPr="00A03AB6" w:rsidRDefault="00D161C7" w:rsidP="00A03AB6">
      <w:pPr>
        <w:spacing w:after="0"/>
        <w:jc w:val="both"/>
        <w:rPr>
          <w:rFonts w:ascii="Bookman Old Style" w:hAnsi="Bookman Old Style"/>
        </w:rPr>
      </w:pPr>
      <w:r w:rsidRPr="00A03AB6">
        <w:rPr>
          <w:rFonts w:ascii="Bookman Old Style" w:hAnsi="Bookman Old Style"/>
        </w:rPr>
        <w:lastRenderedPageBreak/>
        <w:t xml:space="preserve">postanowienie NSA </w:t>
      </w:r>
      <w:r w:rsidR="006F3772" w:rsidRPr="00A03AB6">
        <w:rPr>
          <w:rFonts w:ascii="Bookman Old Style" w:hAnsi="Bookman Old Style"/>
        </w:rPr>
        <w:t>z 11 sierpnia 2020 r., sygn. akt I FZ 76/20</w:t>
      </w:r>
    </w:p>
    <w:p w14:paraId="2EC39A44" w14:textId="77777777" w:rsidR="0015258B" w:rsidRPr="00A03AB6" w:rsidRDefault="0015258B" w:rsidP="00A03AB6">
      <w:pPr>
        <w:spacing w:after="0"/>
        <w:jc w:val="both"/>
        <w:rPr>
          <w:rFonts w:ascii="Bookman Old Style" w:eastAsia="Times New Roman" w:hAnsi="Bookman Old Style" w:cs="Times New Roman"/>
          <w:lang w:eastAsia="pl-PL"/>
        </w:rPr>
      </w:pPr>
    </w:p>
    <w:p w14:paraId="2101DC1A" w14:textId="77777777" w:rsidR="00254C3C" w:rsidRPr="00A03AB6" w:rsidRDefault="00254C3C"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color w:val="FF0000"/>
          <w:lang w:eastAsia="pl-PL"/>
        </w:rPr>
        <w:t>Przepisy</w:t>
      </w:r>
    </w:p>
    <w:p w14:paraId="5F658A2A" w14:textId="176BEFF2" w:rsidR="0015258B" w:rsidRPr="00A03AB6" w:rsidRDefault="0015258B" w:rsidP="00A03AB6">
      <w:pPr>
        <w:spacing w:after="0"/>
        <w:jc w:val="both"/>
        <w:rPr>
          <w:rFonts w:ascii="Bookman Old Style" w:eastAsia="Times New Roman" w:hAnsi="Bookman Old Style" w:cs="Times New Roman"/>
          <w:b/>
          <w:lang w:eastAsia="pl-PL"/>
        </w:rPr>
      </w:pPr>
      <w:r w:rsidRPr="00A03AB6">
        <w:rPr>
          <w:rFonts w:ascii="Bookman Old Style" w:eastAsia="Times New Roman" w:hAnsi="Bookman Old Style" w:cs="Times New Roman"/>
          <w:b/>
          <w:lang w:eastAsia="pl-PL"/>
        </w:rPr>
        <w:t>Konstytucja Rzeczpospolitej Polskiej z dnia 2 kwietnia 1997 r.</w:t>
      </w:r>
      <w:r w:rsidR="00177445" w:rsidRPr="00A03AB6">
        <w:rPr>
          <w:rFonts w:ascii="Bookman Old Style" w:eastAsia="Times New Roman" w:hAnsi="Bookman Old Style" w:cs="Times New Roman"/>
          <w:b/>
          <w:lang w:eastAsia="pl-PL"/>
        </w:rPr>
        <w:t xml:space="preserve"> (Dz. U</w:t>
      </w:r>
      <w:r w:rsidR="00DB0F38" w:rsidRPr="00A03AB6">
        <w:rPr>
          <w:rFonts w:ascii="Bookman Old Style" w:eastAsia="Times New Roman" w:hAnsi="Bookman Old Style" w:cs="Times New Roman"/>
          <w:b/>
          <w:lang w:eastAsia="pl-PL"/>
        </w:rPr>
        <w:t>. Nr 78, poz. 483</w:t>
      </w:r>
      <w:r w:rsidR="009A66EE" w:rsidRPr="00A03AB6">
        <w:rPr>
          <w:rFonts w:ascii="Bookman Old Style" w:eastAsia="Times New Roman" w:hAnsi="Bookman Old Style" w:cs="Times New Roman"/>
          <w:b/>
          <w:lang w:eastAsia="pl-PL"/>
        </w:rPr>
        <w:t>n</w:t>
      </w:r>
    </w:p>
    <w:p w14:paraId="0F5CE2E5" w14:textId="77777777" w:rsidR="00DB0F38" w:rsidRPr="00A03AB6" w:rsidRDefault="00281975" w:rsidP="00A03AB6">
      <w:pPr>
        <w:spacing w:after="0"/>
        <w:jc w:val="both"/>
        <w:rPr>
          <w:rFonts w:ascii="Bookman Old Style" w:hAnsi="Bookman Old Style"/>
        </w:rPr>
      </w:pPr>
      <w:r w:rsidRPr="00A03AB6">
        <w:rPr>
          <w:rFonts w:ascii="Bookman Old Style" w:eastAsia="Times New Roman" w:hAnsi="Bookman Old Style" w:cs="Times New Roman"/>
          <w:b/>
          <w:lang w:eastAsia="pl-PL"/>
        </w:rPr>
        <w:t>Art. 45 ust. 1</w:t>
      </w:r>
      <w:r w:rsidR="00254C3C" w:rsidRPr="00A03AB6">
        <w:rPr>
          <w:rFonts w:ascii="Bookman Old Style" w:eastAsia="Times New Roman" w:hAnsi="Bookman Old Style" w:cs="Times New Roman"/>
          <w:lang w:eastAsia="pl-PL"/>
        </w:rPr>
        <w:t xml:space="preserve"> </w:t>
      </w:r>
      <w:r w:rsidRPr="00A03AB6">
        <w:rPr>
          <w:rFonts w:ascii="Bookman Old Style" w:hAnsi="Bookman Old Style"/>
        </w:rPr>
        <w:t xml:space="preserve">Każdy ma prawo do sprawiedliwego i jawnego rozpatrzenia sprawy bez nieuzasadnionej zwłoki przez właściwy, niezależny, bezstronny i niezawisły sąd. </w:t>
      </w:r>
    </w:p>
    <w:p w14:paraId="39CAB311" w14:textId="77777777" w:rsidR="00DB0F38" w:rsidRPr="00A03AB6" w:rsidRDefault="00DB0F38" w:rsidP="00A03AB6">
      <w:pPr>
        <w:spacing w:after="0"/>
        <w:jc w:val="both"/>
        <w:rPr>
          <w:rFonts w:ascii="Bookman Old Style" w:hAnsi="Bookman Old Style"/>
          <w:b/>
        </w:rPr>
      </w:pPr>
    </w:p>
    <w:p w14:paraId="08632268" w14:textId="345AD31D" w:rsidR="0015258B" w:rsidRPr="00A03AB6" w:rsidRDefault="0015258B" w:rsidP="00A03AB6">
      <w:pPr>
        <w:spacing w:after="0"/>
        <w:jc w:val="both"/>
        <w:rPr>
          <w:rFonts w:ascii="Bookman Old Style" w:hAnsi="Bookman Old Style"/>
          <w:b/>
        </w:rPr>
      </w:pPr>
      <w:r w:rsidRPr="00A03AB6">
        <w:rPr>
          <w:rFonts w:ascii="Bookman Old Style" w:hAnsi="Bookman Old Style"/>
          <w:b/>
        </w:rPr>
        <w:t xml:space="preserve">Ustawa z dnia </w:t>
      </w:r>
      <w:r w:rsidR="009A66EE" w:rsidRPr="00A03AB6">
        <w:rPr>
          <w:rFonts w:ascii="Bookman Old Style" w:hAnsi="Bookman Old Style"/>
          <w:b/>
        </w:rPr>
        <w:t>30 sierpnia 2002 r. Prawo o postępowaniu przed sądami administracyjnymi</w:t>
      </w:r>
      <w:r w:rsidR="006F3772" w:rsidRPr="00A03AB6">
        <w:rPr>
          <w:rFonts w:ascii="Bookman Old Style" w:hAnsi="Bookman Old Style"/>
          <w:b/>
        </w:rPr>
        <w:t xml:space="preserve"> </w:t>
      </w:r>
      <w:r w:rsidR="00177445" w:rsidRPr="00A03AB6">
        <w:rPr>
          <w:rFonts w:ascii="Bookman Old Style" w:hAnsi="Bookman Old Style"/>
          <w:b/>
        </w:rPr>
        <w:t>(</w:t>
      </w:r>
      <w:proofErr w:type="spellStart"/>
      <w:r w:rsidR="009A66EE" w:rsidRPr="00A03AB6">
        <w:rPr>
          <w:rFonts w:ascii="Bookman Old Style" w:hAnsi="Bookman Old Style"/>
          <w:b/>
        </w:rPr>
        <w:t>t.j</w:t>
      </w:r>
      <w:proofErr w:type="spellEnd"/>
      <w:r w:rsidR="009A66EE" w:rsidRPr="00A03AB6">
        <w:rPr>
          <w:rFonts w:ascii="Bookman Old Style" w:hAnsi="Bookman Old Style"/>
          <w:b/>
        </w:rPr>
        <w:t xml:space="preserve">. </w:t>
      </w:r>
      <w:r w:rsidR="00177445" w:rsidRPr="00A03AB6">
        <w:rPr>
          <w:rFonts w:ascii="Bookman Old Style" w:hAnsi="Bookman Old Style"/>
          <w:b/>
        </w:rPr>
        <w:t xml:space="preserve">Dz. U. </w:t>
      </w:r>
      <w:r w:rsidR="009A66EE" w:rsidRPr="00A03AB6">
        <w:rPr>
          <w:rFonts w:ascii="Bookman Old Style" w:hAnsi="Bookman Old Style"/>
          <w:b/>
        </w:rPr>
        <w:t>z 2022 r. poz. 329)</w:t>
      </w:r>
    </w:p>
    <w:p w14:paraId="48F5C901" w14:textId="2F689B31" w:rsidR="00D00D94" w:rsidRPr="00A03AB6" w:rsidRDefault="00D00D94"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lang w:eastAsia="pl-PL"/>
        </w:rPr>
        <w:t>Art.46</w:t>
      </w:r>
      <w:r w:rsidRPr="00A03AB6">
        <w:rPr>
          <w:rFonts w:ascii="Bookman Old Style" w:eastAsia="Times New Roman" w:hAnsi="Bookman Old Style" w:cs="Times New Roman"/>
          <w:lang w:eastAsia="pl-PL"/>
        </w:rPr>
        <w:t xml:space="preserve"> </w:t>
      </w:r>
      <w:r w:rsidRPr="00A03AB6">
        <w:rPr>
          <w:rFonts w:ascii="Bookman Old Style" w:eastAsia="Times New Roman" w:hAnsi="Bookman Old Style" w:cs="Times New Roman"/>
          <w:b/>
          <w:lang w:eastAsia="pl-PL"/>
        </w:rPr>
        <w:t>§ 1</w:t>
      </w:r>
      <w:r w:rsidRPr="00A03AB6">
        <w:rPr>
          <w:rFonts w:ascii="Bookman Old Style" w:eastAsia="Times New Roman" w:hAnsi="Bookman Old Style" w:cs="Times New Roman"/>
          <w:lang w:eastAsia="pl-PL"/>
        </w:rPr>
        <w:t xml:space="preserve"> Każde pismo strony powinno zawierać:</w:t>
      </w:r>
    </w:p>
    <w:p w14:paraId="25C4B029" w14:textId="079CF8E9" w:rsidR="00D00D94" w:rsidRPr="00A03AB6" w:rsidRDefault="00D00D94"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 xml:space="preserve">(…) </w:t>
      </w:r>
    </w:p>
    <w:p w14:paraId="6C27E1BF" w14:textId="73FA3FFB" w:rsidR="00D00D94" w:rsidRPr="00A03AB6" w:rsidRDefault="00D00D94"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4) podpis strony albo jej przedstawiciela ustawowego lub pełnomocnika;</w:t>
      </w:r>
    </w:p>
    <w:p w14:paraId="089D9996" w14:textId="46A7F3DC" w:rsidR="00D00D94" w:rsidRPr="00A03AB6" w:rsidRDefault="006F3772"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w:t>
      </w:r>
    </w:p>
    <w:p w14:paraId="75F76324" w14:textId="0F735C60" w:rsidR="00D00D94" w:rsidRPr="00A03AB6" w:rsidRDefault="006F3772"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lang w:eastAsia="pl-PL"/>
        </w:rPr>
        <w:t>§ 2a</w:t>
      </w:r>
      <w:r w:rsidRPr="00A03AB6">
        <w:rPr>
          <w:rFonts w:ascii="Bookman Old Style" w:eastAsia="Times New Roman" w:hAnsi="Bookman Old Style" w:cs="Times New Roman"/>
          <w:lang w:eastAsia="pl-PL"/>
        </w:rPr>
        <w:t xml:space="preserve"> </w:t>
      </w:r>
      <w:r w:rsidR="00D00D94" w:rsidRPr="00A03AB6">
        <w:rPr>
          <w:rFonts w:ascii="Bookman Old Style" w:eastAsia="Times New Roman" w:hAnsi="Bookman Old Style" w:cs="Times New Roman"/>
          <w:lang w:eastAsia="pl-PL"/>
        </w:rPr>
        <w:t>W przypadku gdy pismo strony jest wnoszone w formie dokumentu elektronicznego, powinno ponadto zawierać adres elektroniczny oraz zostać podpisane przez stronę albo jej przedstawiciela ustawowego lub pełnomocnika kwalifikowanym podpisem elektronicznym, podpisem zaufanym albo podpisem osobistym.</w:t>
      </w:r>
    </w:p>
    <w:p w14:paraId="45915E07" w14:textId="38BC45E1" w:rsidR="006F3772" w:rsidRPr="00A03AB6" w:rsidRDefault="006F3772"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lang w:eastAsia="pl-PL"/>
        </w:rPr>
        <w:t xml:space="preserve">§ 2b </w:t>
      </w:r>
      <w:r w:rsidRPr="00A03AB6">
        <w:rPr>
          <w:rFonts w:ascii="Bookman Old Style" w:eastAsia="Times New Roman" w:hAnsi="Bookman Old Style" w:cs="Times New Roman"/>
          <w:lang w:eastAsia="pl-PL"/>
        </w:rPr>
        <w:t>Zasady podpisywania przewidziane w § 2a dotyczą także załączników wnoszonych w formie dokumentu elektronicznego.</w:t>
      </w:r>
    </w:p>
    <w:p w14:paraId="4C539EF0" w14:textId="77777777" w:rsidR="00254C3C" w:rsidRPr="00A03AB6" w:rsidRDefault="00254C3C" w:rsidP="00A03AB6">
      <w:pPr>
        <w:spacing w:after="0"/>
        <w:jc w:val="both"/>
        <w:rPr>
          <w:rFonts w:ascii="Bookman Old Style" w:eastAsia="Times New Roman" w:hAnsi="Bookman Old Style" w:cs="Times New Roman"/>
          <w:lang w:eastAsia="pl-PL"/>
        </w:rPr>
      </w:pPr>
    </w:p>
    <w:p w14:paraId="4771181E" w14:textId="675ECE8F" w:rsidR="00D00D94" w:rsidRPr="00A03AB6" w:rsidRDefault="00D00D94"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lang w:eastAsia="pl-PL"/>
        </w:rPr>
        <w:t>Art.</w:t>
      </w:r>
      <w:r w:rsidR="006F3772" w:rsidRPr="00A03AB6">
        <w:rPr>
          <w:rFonts w:ascii="Bookman Old Style" w:eastAsia="Times New Roman" w:hAnsi="Bookman Old Style" w:cs="Times New Roman"/>
          <w:b/>
          <w:lang w:eastAsia="pl-PL"/>
        </w:rPr>
        <w:t xml:space="preserve"> </w:t>
      </w:r>
      <w:r w:rsidRPr="00A03AB6">
        <w:rPr>
          <w:rFonts w:ascii="Bookman Old Style" w:eastAsia="Times New Roman" w:hAnsi="Bookman Old Style" w:cs="Times New Roman"/>
          <w:b/>
          <w:lang w:eastAsia="pl-PL"/>
        </w:rPr>
        <w:t>12b</w:t>
      </w:r>
      <w:r w:rsidR="006F3772" w:rsidRPr="00A03AB6">
        <w:rPr>
          <w:rFonts w:ascii="Bookman Old Style" w:eastAsia="Times New Roman" w:hAnsi="Bookman Old Style" w:cs="Times New Roman"/>
          <w:b/>
          <w:lang w:eastAsia="pl-PL"/>
        </w:rPr>
        <w:t xml:space="preserve"> </w:t>
      </w:r>
      <w:r w:rsidRPr="00A03AB6">
        <w:rPr>
          <w:rFonts w:ascii="Bookman Old Style" w:eastAsia="Times New Roman" w:hAnsi="Bookman Old Style" w:cs="Times New Roman"/>
          <w:b/>
          <w:lang w:eastAsia="pl-PL"/>
        </w:rPr>
        <w:t>§</w:t>
      </w:r>
      <w:r w:rsidR="006F3772" w:rsidRPr="00A03AB6">
        <w:rPr>
          <w:rFonts w:ascii="Bookman Old Style" w:eastAsia="Times New Roman" w:hAnsi="Bookman Old Style" w:cs="Times New Roman"/>
          <w:b/>
          <w:lang w:eastAsia="pl-PL"/>
        </w:rPr>
        <w:t xml:space="preserve"> </w:t>
      </w:r>
      <w:r w:rsidRPr="00A03AB6">
        <w:rPr>
          <w:rFonts w:ascii="Bookman Old Style" w:eastAsia="Times New Roman" w:hAnsi="Bookman Old Style" w:cs="Times New Roman"/>
          <w:b/>
          <w:lang w:eastAsia="pl-PL"/>
        </w:rPr>
        <w:t xml:space="preserve">1 </w:t>
      </w:r>
      <w:r w:rsidRPr="00A03AB6">
        <w:rPr>
          <w:rFonts w:ascii="Bookman Old Style" w:eastAsia="Times New Roman" w:hAnsi="Bookman Old Style" w:cs="Times New Roman"/>
          <w:lang w:eastAsia="pl-PL"/>
        </w:rPr>
        <w:t>Określony w ustawie warunek formy pisemnej uważa się za zachowany, jeżeli dokument elektroniczny został podpisany w sposób, o którym mowa w art. 46 § 2a.</w:t>
      </w:r>
    </w:p>
    <w:p w14:paraId="1CD86C55" w14:textId="77777777" w:rsidR="00D00D94" w:rsidRPr="00A03AB6" w:rsidRDefault="00D00D94" w:rsidP="00A03AB6">
      <w:pPr>
        <w:spacing w:after="0"/>
        <w:jc w:val="both"/>
        <w:rPr>
          <w:rFonts w:ascii="Bookman Old Style" w:eastAsia="Times New Roman" w:hAnsi="Bookman Old Style" w:cs="Times New Roman"/>
          <w:lang w:eastAsia="pl-PL"/>
        </w:rPr>
      </w:pPr>
    </w:p>
    <w:p w14:paraId="1FAF589A" w14:textId="039838F3" w:rsidR="009A66EE" w:rsidRPr="00A03AB6" w:rsidRDefault="00762855" w:rsidP="00A03AB6">
      <w:pPr>
        <w:spacing w:after="0"/>
        <w:jc w:val="both"/>
        <w:rPr>
          <w:rFonts w:ascii="Bookman Old Style" w:hAnsi="Bookman Old Style"/>
          <w:b/>
        </w:rPr>
      </w:pPr>
      <w:r w:rsidRPr="00A03AB6">
        <w:rPr>
          <w:rFonts w:ascii="Bookman Old Style" w:hAnsi="Bookman Old Style"/>
          <w:b/>
        </w:rPr>
        <w:t>Zasady techniki prawodawczej – załącznik do Rozporządzenia</w:t>
      </w:r>
      <w:r w:rsidR="009A66EE" w:rsidRPr="00A03AB6">
        <w:rPr>
          <w:rFonts w:ascii="Bookman Old Style" w:hAnsi="Bookman Old Style"/>
          <w:b/>
        </w:rPr>
        <w:t xml:space="preserve"> Prezesa Rady Ministrów z dnia 20 czerwca 2002 r. w sprawie "Zasad techniki prawodawczej" (</w:t>
      </w:r>
      <w:proofErr w:type="spellStart"/>
      <w:r w:rsidR="009A66EE" w:rsidRPr="00A03AB6">
        <w:rPr>
          <w:rFonts w:ascii="Bookman Old Style" w:hAnsi="Bookman Old Style"/>
          <w:b/>
        </w:rPr>
        <w:t>t.j</w:t>
      </w:r>
      <w:proofErr w:type="spellEnd"/>
      <w:r w:rsidR="009A66EE" w:rsidRPr="00A03AB6">
        <w:rPr>
          <w:rFonts w:ascii="Bookman Old Style" w:hAnsi="Bookman Old Style"/>
          <w:b/>
        </w:rPr>
        <w:t>. Dz. U. z 2016 r. poz. 283)</w:t>
      </w:r>
    </w:p>
    <w:p w14:paraId="087D52B3" w14:textId="33F9894E" w:rsidR="0015258B" w:rsidRPr="00A03AB6" w:rsidRDefault="009A66EE" w:rsidP="00A03AB6">
      <w:pPr>
        <w:spacing w:after="0"/>
        <w:jc w:val="both"/>
        <w:rPr>
          <w:rFonts w:ascii="Bookman Old Style" w:eastAsia="Times New Roman" w:hAnsi="Bookman Old Style" w:cs="Times New Roman"/>
          <w:b/>
          <w:lang w:eastAsia="pl-PL"/>
        </w:rPr>
      </w:pPr>
      <w:r w:rsidRPr="00A03AB6">
        <w:rPr>
          <w:rFonts w:ascii="Bookman Old Style" w:eastAsia="Times New Roman" w:hAnsi="Bookman Old Style" w:cs="Times New Roman"/>
          <w:b/>
          <w:lang w:eastAsia="pl-PL"/>
        </w:rPr>
        <w:t>§</w:t>
      </w:r>
      <w:r w:rsidR="006F3772" w:rsidRPr="00A03AB6">
        <w:rPr>
          <w:rFonts w:ascii="Bookman Old Style" w:eastAsia="Times New Roman" w:hAnsi="Bookman Old Style" w:cs="Times New Roman"/>
          <w:b/>
          <w:lang w:eastAsia="pl-PL"/>
        </w:rPr>
        <w:t xml:space="preserve"> </w:t>
      </w:r>
      <w:r w:rsidRPr="00A03AB6">
        <w:rPr>
          <w:rFonts w:ascii="Bookman Old Style" w:eastAsia="Times New Roman" w:hAnsi="Bookman Old Style" w:cs="Times New Roman"/>
          <w:b/>
          <w:lang w:eastAsia="pl-PL"/>
        </w:rPr>
        <w:t>6.</w:t>
      </w:r>
      <w:r w:rsidR="006F3772" w:rsidRPr="00A03AB6">
        <w:rPr>
          <w:rFonts w:ascii="Bookman Old Style" w:eastAsia="Times New Roman" w:hAnsi="Bookman Old Style" w:cs="Times New Roman"/>
          <w:b/>
          <w:lang w:eastAsia="pl-PL"/>
        </w:rPr>
        <w:t xml:space="preserve"> </w:t>
      </w:r>
      <w:r w:rsidRPr="00A03AB6">
        <w:rPr>
          <w:rFonts w:ascii="Bookman Old Style" w:eastAsia="Times New Roman" w:hAnsi="Bookman Old Style" w:cs="Times New Roman"/>
          <w:lang w:eastAsia="pl-PL"/>
        </w:rPr>
        <w:t>Przepisy ustawy redaguje się tak, aby dokładnie i w sposób zrozumiały dla adresatów zawartych w nich norm wyrażały intencje prawodawcy.</w:t>
      </w:r>
    </w:p>
    <w:p w14:paraId="73BA5128" w14:textId="77777777" w:rsidR="00762855" w:rsidRPr="00A03AB6" w:rsidRDefault="00762855" w:rsidP="00A03AB6">
      <w:pPr>
        <w:spacing w:after="0"/>
        <w:jc w:val="both"/>
        <w:rPr>
          <w:rFonts w:ascii="Bookman Old Style" w:eastAsia="Times New Roman" w:hAnsi="Bookman Old Style" w:cs="Times New Roman"/>
          <w:lang w:eastAsia="pl-PL"/>
        </w:rPr>
      </w:pPr>
    </w:p>
    <w:p w14:paraId="4ADA4530" w14:textId="4D2C901D" w:rsidR="0015258B" w:rsidRPr="00A03AB6" w:rsidRDefault="00254C3C" w:rsidP="00A03AB6">
      <w:p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b/>
          <w:color w:val="FF0000"/>
          <w:lang w:eastAsia="pl-PL"/>
        </w:rPr>
        <w:t>Główne problemy</w:t>
      </w:r>
    </w:p>
    <w:p w14:paraId="12B4E64D" w14:textId="7A6C4CAD" w:rsidR="00254C3C" w:rsidRPr="00A03AB6" w:rsidRDefault="00FA42DF" w:rsidP="00A03AB6">
      <w:pPr>
        <w:pStyle w:val="Akapitzlist"/>
        <w:numPr>
          <w:ilvl w:val="0"/>
          <w:numId w:val="3"/>
        </w:num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K</w:t>
      </w:r>
      <w:r w:rsidR="00254C3C" w:rsidRPr="00A03AB6">
        <w:rPr>
          <w:rFonts w:ascii="Bookman Old Style" w:eastAsia="Times New Roman" w:hAnsi="Bookman Old Style" w:cs="Times New Roman"/>
          <w:lang w:eastAsia="pl-PL"/>
        </w:rPr>
        <w:t xml:space="preserve">onstytucyjna zasada </w:t>
      </w:r>
      <w:r w:rsidR="00D161C7" w:rsidRPr="00A03AB6">
        <w:rPr>
          <w:rFonts w:ascii="Bookman Old Style" w:eastAsia="Times New Roman" w:hAnsi="Bookman Old Style" w:cs="Times New Roman"/>
          <w:lang w:eastAsia="pl-PL"/>
        </w:rPr>
        <w:t>prawa do sądu</w:t>
      </w:r>
      <w:r w:rsidR="007A7EE3" w:rsidRPr="00A03AB6">
        <w:rPr>
          <w:rFonts w:ascii="Bookman Old Style" w:eastAsia="Times New Roman" w:hAnsi="Bookman Old Style" w:cs="Times New Roman"/>
          <w:lang w:eastAsia="pl-PL"/>
        </w:rPr>
        <w:t>.</w:t>
      </w:r>
    </w:p>
    <w:p w14:paraId="1E4E0388" w14:textId="6B1689C0" w:rsidR="00D161C7" w:rsidRPr="00A03AB6" w:rsidRDefault="00D161C7" w:rsidP="00A03AB6">
      <w:pPr>
        <w:pStyle w:val="Akapitzlist"/>
        <w:numPr>
          <w:ilvl w:val="0"/>
          <w:numId w:val="3"/>
        </w:num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Prz</w:t>
      </w:r>
      <w:r w:rsidR="00FA42DF" w:rsidRPr="00A03AB6">
        <w:rPr>
          <w:rFonts w:ascii="Bookman Old Style" w:eastAsia="Times New Roman" w:hAnsi="Bookman Old Style" w:cs="Times New Roman"/>
          <w:lang w:eastAsia="pl-PL"/>
        </w:rPr>
        <w:t>episy o charakterze technicznym.</w:t>
      </w:r>
    </w:p>
    <w:p w14:paraId="03263045" w14:textId="5171A07D" w:rsidR="00FA42DF" w:rsidRPr="00A03AB6" w:rsidRDefault="00FA42DF" w:rsidP="00A03AB6">
      <w:pPr>
        <w:pStyle w:val="Akapitzlist"/>
        <w:numPr>
          <w:ilvl w:val="0"/>
          <w:numId w:val="3"/>
        </w:numPr>
        <w:spacing w:after="0"/>
        <w:jc w:val="both"/>
        <w:rPr>
          <w:rFonts w:ascii="Bookman Old Style" w:eastAsia="Times New Roman" w:hAnsi="Bookman Old Style" w:cs="Times New Roman"/>
          <w:lang w:eastAsia="pl-PL"/>
        </w:rPr>
      </w:pPr>
      <w:r w:rsidRPr="00A03AB6">
        <w:rPr>
          <w:rFonts w:ascii="Bookman Old Style" w:eastAsia="Times New Roman" w:hAnsi="Bookman Old Style" w:cs="Times New Roman"/>
          <w:lang w:eastAsia="pl-PL"/>
        </w:rPr>
        <w:t>Klarowność, precyzyjność przepisów prawa</w:t>
      </w:r>
      <w:r w:rsidR="00281975" w:rsidRPr="00A03AB6">
        <w:rPr>
          <w:rFonts w:ascii="Bookman Old Style" w:eastAsia="Times New Roman" w:hAnsi="Bookman Old Style" w:cs="Times New Roman"/>
          <w:lang w:eastAsia="pl-PL"/>
        </w:rPr>
        <w:t>.</w:t>
      </w:r>
    </w:p>
    <w:p w14:paraId="40F3C18F" w14:textId="77777777" w:rsidR="003B36FA" w:rsidRPr="00A03AB6" w:rsidRDefault="00535DA7" w:rsidP="00A03AB6">
      <w:pPr>
        <w:rPr>
          <w:rFonts w:ascii="Bookman Old Style" w:hAnsi="Bookman Old Style"/>
        </w:rPr>
      </w:pPr>
      <w:bookmarkStart w:id="0" w:name="_GoBack"/>
      <w:bookmarkEnd w:id="0"/>
    </w:p>
    <w:sectPr w:rsidR="003B36FA" w:rsidRPr="00A03AB6">
      <w:footerReference w:type="default" r:id="rId3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9201E" w16cex:dateUtc="2021-02-06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E21F5" w16cid:durableId="21DF3311"/>
  <w16cid:commentId w16cid:paraId="2F1D72B4" w16cid:durableId="21DF333B"/>
  <w16cid:commentId w16cid:paraId="68C53701" w16cid:durableId="21DF3376"/>
  <w16cid:commentId w16cid:paraId="712FF79C" w16cid:durableId="21DF33A3"/>
  <w16cid:commentId w16cid:paraId="32693524" w16cid:durableId="21DF33CC"/>
  <w16cid:commentId w16cid:paraId="03CD1E06" w16cid:durableId="23C9201E"/>
  <w16cid:commentId w16cid:paraId="669F4E12" w16cid:durableId="21DF34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5556E" w14:textId="77777777" w:rsidR="00535DA7" w:rsidRDefault="00535DA7" w:rsidP="00A03AB6">
      <w:pPr>
        <w:spacing w:after="0" w:line="240" w:lineRule="auto"/>
      </w:pPr>
      <w:r>
        <w:separator/>
      </w:r>
    </w:p>
  </w:endnote>
  <w:endnote w:type="continuationSeparator" w:id="0">
    <w:p w14:paraId="2DEB6B65" w14:textId="77777777" w:rsidR="00535DA7" w:rsidRDefault="00535DA7" w:rsidP="00A0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oront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8800"/>
      <w:docPartObj>
        <w:docPartGallery w:val="Page Numbers (Bottom of Page)"/>
        <w:docPartUnique/>
      </w:docPartObj>
    </w:sdtPr>
    <w:sdtContent>
      <w:p w14:paraId="4E92192E" w14:textId="5B0B602D" w:rsidR="00A03AB6" w:rsidRDefault="00A03AB6">
        <w:pPr>
          <w:pStyle w:val="Stopka"/>
          <w:jc w:val="right"/>
        </w:pPr>
        <w:r>
          <w:fldChar w:fldCharType="begin"/>
        </w:r>
        <w:r>
          <w:instrText>PAGE   \* MERGEFORMAT</w:instrText>
        </w:r>
        <w:r>
          <w:fldChar w:fldCharType="separate"/>
        </w:r>
        <w:r>
          <w:rPr>
            <w:noProof/>
          </w:rPr>
          <w:t>12</w:t>
        </w:r>
        <w:r>
          <w:fldChar w:fldCharType="end"/>
        </w:r>
      </w:p>
    </w:sdtContent>
  </w:sdt>
  <w:p w14:paraId="7847B35A" w14:textId="77777777" w:rsidR="00A03AB6" w:rsidRDefault="00A03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A4783" w14:textId="77777777" w:rsidR="00535DA7" w:rsidRDefault="00535DA7" w:rsidP="00A03AB6">
      <w:pPr>
        <w:spacing w:after="0" w:line="240" w:lineRule="auto"/>
      </w:pPr>
      <w:r>
        <w:separator/>
      </w:r>
    </w:p>
  </w:footnote>
  <w:footnote w:type="continuationSeparator" w:id="0">
    <w:p w14:paraId="33697414" w14:textId="77777777" w:rsidR="00535DA7" w:rsidRDefault="00535DA7" w:rsidP="00A03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061"/>
    <w:multiLevelType w:val="hybridMultilevel"/>
    <w:tmpl w:val="72B87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1F2DCE"/>
    <w:multiLevelType w:val="hybridMultilevel"/>
    <w:tmpl w:val="99B09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245819"/>
    <w:multiLevelType w:val="hybridMultilevel"/>
    <w:tmpl w:val="EBBAE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99562ED"/>
    <w:multiLevelType w:val="hybridMultilevel"/>
    <w:tmpl w:val="F3D86C84"/>
    <w:lvl w:ilvl="0" w:tplc="8886E900">
      <w:start w:val="1"/>
      <w:numFmt w:val="decimal"/>
      <w:lvlText w:val="%1."/>
      <w:lvlJc w:val="left"/>
      <w:pPr>
        <w:tabs>
          <w:tab w:val="num" w:pos="720"/>
        </w:tabs>
        <w:ind w:left="720" w:hanging="360"/>
      </w:pPr>
    </w:lvl>
    <w:lvl w:ilvl="1" w:tplc="3AB46274" w:tentative="1">
      <w:start w:val="1"/>
      <w:numFmt w:val="decimal"/>
      <w:lvlText w:val="%2."/>
      <w:lvlJc w:val="left"/>
      <w:pPr>
        <w:tabs>
          <w:tab w:val="num" w:pos="1440"/>
        </w:tabs>
        <w:ind w:left="1440" w:hanging="360"/>
      </w:pPr>
    </w:lvl>
    <w:lvl w:ilvl="2" w:tplc="9B1ACCB6" w:tentative="1">
      <w:start w:val="1"/>
      <w:numFmt w:val="decimal"/>
      <w:lvlText w:val="%3."/>
      <w:lvlJc w:val="left"/>
      <w:pPr>
        <w:tabs>
          <w:tab w:val="num" w:pos="2160"/>
        </w:tabs>
        <w:ind w:left="2160" w:hanging="360"/>
      </w:pPr>
    </w:lvl>
    <w:lvl w:ilvl="3" w:tplc="1C344124" w:tentative="1">
      <w:start w:val="1"/>
      <w:numFmt w:val="decimal"/>
      <w:lvlText w:val="%4."/>
      <w:lvlJc w:val="left"/>
      <w:pPr>
        <w:tabs>
          <w:tab w:val="num" w:pos="2880"/>
        </w:tabs>
        <w:ind w:left="2880" w:hanging="360"/>
      </w:pPr>
    </w:lvl>
    <w:lvl w:ilvl="4" w:tplc="63E247A2" w:tentative="1">
      <w:start w:val="1"/>
      <w:numFmt w:val="decimal"/>
      <w:lvlText w:val="%5."/>
      <w:lvlJc w:val="left"/>
      <w:pPr>
        <w:tabs>
          <w:tab w:val="num" w:pos="3600"/>
        </w:tabs>
        <w:ind w:left="3600" w:hanging="360"/>
      </w:pPr>
    </w:lvl>
    <w:lvl w:ilvl="5" w:tplc="A0FC7C52" w:tentative="1">
      <w:start w:val="1"/>
      <w:numFmt w:val="decimal"/>
      <w:lvlText w:val="%6."/>
      <w:lvlJc w:val="left"/>
      <w:pPr>
        <w:tabs>
          <w:tab w:val="num" w:pos="4320"/>
        </w:tabs>
        <w:ind w:left="4320" w:hanging="360"/>
      </w:pPr>
    </w:lvl>
    <w:lvl w:ilvl="6" w:tplc="CB389BFC" w:tentative="1">
      <w:start w:val="1"/>
      <w:numFmt w:val="decimal"/>
      <w:lvlText w:val="%7."/>
      <w:lvlJc w:val="left"/>
      <w:pPr>
        <w:tabs>
          <w:tab w:val="num" w:pos="5040"/>
        </w:tabs>
        <w:ind w:left="5040" w:hanging="360"/>
      </w:pPr>
    </w:lvl>
    <w:lvl w:ilvl="7" w:tplc="87C86AE4" w:tentative="1">
      <w:start w:val="1"/>
      <w:numFmt w:val="decimal"/>
      <w:lvlText w:val="%8."/>
      <w:lvlJc w:val="left"/>
      <w:pPr>
        <w:tabs>
          <w:tab w:val="num" w:pos="5760"/>
        </w:tabs>
        <w:ind w:left="5760" w:hanging="360"/>
      </w:pPr>
    </w:lvl>
    <w:lvl w:ilvl="8" w:tplc="386CDC68" w:tentative="1">
      <w:start w:val="1"/>
      <w:numFmt w:val="decimal"/>
      <w:lvlText w:val="%9."/>
      <w:lvlJc w:val="left"/>
      <w:pPr>
        <w:tabs>
          <w:tab w:val="num" w:pos="6480"/>
        </w:tabs>
        <w:ind w:left="6480" w:hanging="360"/>
      </w:pPr>
    </w:lvl>
  </w:abstractNum>
  <w:abstractNum w:abstractNumId="4" w15:restartNumberingAfterBreak="0">
    <w:nsid w:val="780B1393"/>
    <w:multiLevelType w:val="hybridMultilevel"/>
    <w:tmpl w:val="2DAEB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3C"/>
    <w:rsid w:val="0013230B"/>
    <w:rsid w:val="0015258B"/>
    <w:rsid w:val="00177445"/>
    <w:rsid w:val="00254C3C"/>
    <w:rsid w:val="00280A00"/>
    <w:rsid w:val="00281975"/>
    <w:rsid w:val="0028689A"/>
    <w:rsid w:val="002A4A4A"/>
    <w:rsid w:val="003339F9"/>
    <w:rsid w:val="00353C39"/>
    <w:rsid w:val="004231AA"/>
    <w:rsid w:val="004654D3"/>
    <w:rsid w:val="00535DA7"/>
    <w:rsid w:val="005A1ABA"/>
    <w:rsid w:val="005E411C"/>
    <w:rsid w:val="006F3772"/>
    <w:rsid w:val="00733C62"/>
    <w:rsid w:val="00762855"/>
    <w:rsid w:val="007A7EE3"/>
    <w:rsid w:val="00824FBC"/>
    <w:rsid w:val="00955466"/>
    <w:rsid w:val="009A66EE"/>
    <w:rsid w:val="009D5675"/>
    <w:rsid w:val="00A03AB6"/>
    <w:rsid w:val="00A47CDB"/>
    <w:rsid w:val="00C20453"/>
    <w:rsid w:val="00D00D94"/>
    <w:rsid w:val="00D02373"/>
    <w:rsid w:val="00D161C7"/>
    <w:rsid w:val="00D346C4"/>
    <w:rsid w:val="00DB0F38"/>
    <w:rsid w:val="00DF6BC2"/>
    <w:rsid w:val="00F84885"/>
    <w:rsid w:val="00FA4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9798"/>
  <w15:docId w15:val="{74660BA5-5527-4FF2-B568-23A5762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4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4C3C"/>
    <w:pPr>
      <w:ind w:left="720"/>
      <w:contextualSpacing/>
    </w:pPr>
  </w:style>
  <w:style w:type="character" w:customStyle="1" w:styleId="info-list-value-uzasadnienie">
    <w:name w:val="info-list-value-uzasadnienie"/>
    <w:basedOn w:val="Domylnaczcionkaakapitu"/>
    <w:rsid w:val="00254C3C"/>
  </w:style>
  <w:style w:type="character" w:styleId="Odwoaniedokomentarza">
    <w:name w:val="annotation reference"/>
    <w:basedOn w:val="Domylnaczcionkaakapitu"/>
    <w:uiPriority w:val="99"/>
    <w:semiHidden/>
    <w:unhideWhenUsed/>
    <w:rsid w:val="00177445"/>
    <w:rPr>
      <w:sz w:val="16"/>
      <w:szCs w:val="16"/>
    </w:rPr>
  </w:style>
  <w:style w:type="paragraph" w:styleId="Tekstkomentarza">
    <w:name w:val="annotation text"/>
    <w:basedOn w:val="Normalny"/>
    <w:link w:val="TekstkomentarzaZnak"/>
    <w:uiPriority w:val="99"/>
    <w:semiHidden/>
    <w:unhideWhenUsed/>
    <w:rsid w:val="001774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7445"/>
    <w:rPr>
      <w:sz w:val="20"/>
      <w:szCs w:val="20"/>
    </w:rPr>
  </w:style>
  <w:style w:type="paragraph" w:styleId="Tematkomentarza">
    <w:name w:val="annotation subject"/>
    <w:basedOn w:val="Tekstkomentarza"/>
    <w:next w:val="Tekstkomentarza"/>
    <w:link w:val="TematkomentarzaZnak"/>
    <w:uiPriority w:val="99"/>
    <w:semiHidden/>
    <w:unhideWhenUsed/>
    <w:rsid w:val="00177445"/>
    <w:rPr>
      <w:b/>
      <w:bCs/>
    </w:rPr>
  </w:style>
  <w:style w:type="character" w:customStyle="1" w:styleId="TematkomentarzaZnak">
    <w:name w:val="Temat komentarza Znak"/>
    <w:basedOn w:val="TekstkomentarzaZnak"/>
    <w:link w:val="Tematkomentarza"/>
    <w:uiPriority w:val="99"/>
    <w:semiHidden/>
    <w:rsid w:val="00177445"/>
    <w:rPr>
      <w:b/>
      <w:bCs/>
      <w:sz w:val="20"/>
      <w:szCs w:val="20"/>
    </w:rPr>
  </w:style>
  <w:style w:type="paragraph" w:styleId="Tekstdymka">
    <w:name w:val="Balloon Text"/>
    <w:basedOn w:val="Normalny"/>
    <w:link w:val="TekstdymkaZnak"/>
    <w:uiPriority w:val="99"/>
    <w:semiHidden/>
    <w:unhideWhenUsed/>
    <w:rsid w:val="001774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445"/>
    <w:rPr>
      <w:rFonts w:ascii="Segoe UI" w:hAnsi="Segoe UI" w:cs="Segoe UI"/>
      <w:sz w:val="18"/>
      <w:szCs w:val="18"/>
    </w:rPr>
  </w:style>
  <w:style w:type="character" w:styleId="Hipercze">
    <w:name w:val="Hyperlink"/>
    <w:basedOn w:val="Domylnaczcionkaakapitu"/>
    <w:uiPriority w:val="99"/>
    <w:semiHidden/>
    <w:unhideWhenUsed/>
    <w:rsid w:val="005A1ABA"/>
    <w:rPr>
      <w:color w:val="0000FF"/>
      <w:u w:val="single"/>
    </w:rPr>
  </w:style>
  <w:style w:type="character" w:customStyle="1" w:styleId="alb-s">
    <w:name w:val="a_lb-s"/>
    <w:basedOn w:val="Domylnaczcionkaakapitu"/>
    <w:rsid w:val="009A66EE"/>
  </w:style>
  <w:style w:type="paragraph" w:styleId="Nagwek">
    <w:name w:val="header"/>
    <w:basedOn w:val="Normalny"/>
    <w:link w:val="NagwekZnak"/>
    <w:uiPriority w:val="99"/>
    <w:unhideWhenUsed/>
    <w:rsid w:val="00A03A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AB6"/>
  </w:style>
  <w:style w:type="paragraph" w:styleId="Stopka">
    <w:name w:val="footer"/>
    <w:basedOn w:val="Normalny"/>
    <w:link w:val="StopkaZnak"/>
    <w:uiPriority w:val="99"/>
    <w:unhideWhenUsed/>
    <w:rsid w:val="00A03A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3365">
      <w:bodyDiv w:val="1"/>
      <w:marLeft w:val="0"/>
      <w:marRight w:val="0"/>
      <w:marTop w:val="0"/>
      <w:marBottom w:val="0"/>
      <w:divBdr>
        <w:top w:val="none" w:sz="0" w:space="0" w:color="auto"/>
        <w:left w:val="none" w:sz="0" w:space="0" w:color="auto"/>
        <w:bottom w:val="none" w:sz="0" w:space="0" w:color="auto"/>
        <w:right w:val="none" w:sz="0" w:space="0" w:color="auto"/>
      </w:divBdr>
      <w:divsChild>
        <w:div w:id="839347668">
          <w:marLeft w:val="720"/>
          <w:marRight w:val="0"/>
          <w:marTop w:val="240"/>
          <w:marBottom w:val="0"/>
          <w:divBdr>
            <w:top w:val="none" w:sz="0" w:space="0" w:color="auto"/>
            <w:left w:val="none" w:sz="0" w:space="0" w:color="auto"/>
            <w:bottom w:val="none" w:sz="0" w:space="0" w:color="auto"/>
            <w:right w:val="none" w:sz="0" w:space="0" w:color="auto"/>
          </w:divBdr>
        </w:div>
      </w:divsChild>
    </w:div>
    <w:div w:id="621427415">
      <w:bodyDiv w:val="1"/>
      <w:marLeft w:val="0"/>
      <w:marRight w:val="0"/>
      <w:marTop w:val="0"/>
      <w:marBottom w:val="0"/>
      <w:divBdr>
        <w:top w:val="none" w:sz="0" w:space="0" w:color="auto"/>
        <w:left w:val="none" w:sz="0" w:space="0" w:color="auto"/>
        <w:bottom w:val="none" w:sz="0" w:space="0" w:color="auto"/>
        <w:right w:val="none" w:sz="0" w:space="0" w:color="auto"/>
      </w:divBdr>
    </w:div>
    <w:div w:id="1340766660">
      <w:bodyDiv w:val="1"/>
      <w:marLeft w:val="0"/>
      <w:marRight w:val="0"/>
      <w:marTop w:val="0"/>
      <w:marBottom w:val="0"/>
      <w:divBdr>
        <w:top w:val="none" w:sz="0" w:space="0" w:color="auto"/>
        <w:left w:val="none" w:sz="0" w:space="0" w:color="auto"/>
        <w:bottom w:val="none" w:sz="0" w:space="0" w:color="auto"/>
        <w:right w:val="none" w:sz="0" w:space="0" w:color="auto"/>
      </w:divBdr>
      <w:divsChild>
        <w:div w:id="1588222388">
          <w:marLeft w:val="0"/>
          <w:marRight w:val="0"/>
          <w:marTop w:val="72"/>
          <w:marBottom w:val="0"/>
          <w:divBdr>
            <w:top w:val="none" w:sz="0" w:space="0" w:color="auto"/>
            <w:left w:val="none" w:sz="0" w:space="0" w:color="auto"/>
            <w:bottom w:val="none" w:sz="0" w:space="0" w:color="auto"/>
            <w:right w:val="none" w:sz="0" w:space="0" w:color="auto"/>
          </w:divBdr>
          <w:divsChild>
            <w:div w:id="2106609259">
              <w:marLeft w:val="360"/>
              <w:marRight w:val="0"/>
              <w:marTop w:val="72"/>
              <w:marBottom w:val="72"/>
              <w:divBdr>
                <w:top w:val="none" w:sz="0" w:space="0" w:color="auto"/>
                <w:left w:val="none" w:sz="0" w:space="0" w:color="auto"/>
                <w:bottom w:val="none" w:sz="0" w:space="0" w:color="auto"/>
                <w:right w:val="none" w:sz="0" w:space="0" w:color="auto"/>
              </w:divBdr>
              <w:divsChild>
                <w:div w:id="1668971699">
                  <w:marLeft w:val="0"/>
                  <w:marRight w:val="0"/>
                  <w:marTop w:val="0"/>
                  <w:marBottom w:val="0"/>
                  <w:divBdr>
                    <w:top w:val="none" w:sz="0" w:space="0" w:color="auto"/>
                    <w:left w:val="none" w:sz="0" w:space="0" w:color="auto"/>
                    <w:bottom w:val="none" w:sz="0" w:space="0" w:color="auto"/>
                    <w:right w:val="none" w:sz="0" w:space="0" w:color="auto"/>
                  </w:divBdr>
                </w:div>
              </w:divsChild>
            </w:div>
            <w:div w:id="1057899614">
              <w:marLeft w:val="360"/>
              <w:marRight w:val="0"/>
              <w:marTop w:val="0"/>
              <w:marBottom w:val="72"/>
              <w:divBdr>
                <w:top w:val="none" w:sz="0" w:space="0" w:color="auto"/>
                <w:left w:val="none" w:sz="0" w:space="0" w:color="auto"/>
                <w:bottom w:val="none" w:sz="0" w:space="0" w:color="auto"/>
                <w:right w:val="none" w:sz="0" w:space="0" w:color="auto"/>
              </w:divBdr>
              <w:divsChild>
                <w:div w:id="38747028">
                  <w:marLeft w:val="0"/>
                  <w:marRight w:val="0"/>
                  <w:marTop w:val="0"/>
                  <w:marBottom w:val="0"/>
                  <w:divBdr>
                    <w:top w:val="none" w:sz="0" w:space="0" w:color="auto"/>
                    <w:left w:val="none" w:sz="0" w:space="0" w:color="auto"/>
                    <w:bottom w:val="none" w:sz="0" w:space="0" w:color="auto"/>
                    <w:right w:val="none" w:sz="0" w:space="0" w:color="auto"/>
                  </w:divBdr>
                </w:div>
              </w:divsChild>
            </w:div>
            <w:div w:id="315106222">
              <w:marLeft w:val="360"/>
              <w:marRight w:val="0"/>
              <w:marTop w:val="0"/>
              <w:marBottom w:val="72"/>
              <w:divBdr>
                <w:top w:val="none" w:sz="0" w:space="0" w:color="auto"/>
                <w:left w:val="none" w:sz="0" w:space="0" w:color="auto"/>
                <w:bottom w:val="none" w:sz="0" w:space="0" w:color="auto"/>
                <w:right w:val="none" w:sz="0" w:space="0" w:color="auto"/>
              </w:divBdr>
              <w:divsChild>
                <w:div w:id="1793355884">
                  <w:marLeft w:val="0"/>
                  <w:marRight w:val="0"/>
                  <w:marTop w:val="0"/>
                  <w:marBottom w:val="0"/>
                  <w:divBdr>
                    <w:top w:val="none" w:sz="0" w:space="0" w:color="auto"/>
                    <w:left w:val="none" w:sz="0" w:space="0" w:color="auto"/>
                    <w:bottom w:val="none" w:sz="0" w:space="0" w:color="auto"/>
                    <w:right w:val="none" w:sz="0" w:space="0" w:color="auto"/>
                  </w:divBdr>
                </w:div>
              </w:divsChild>
            </w:div>
            <w:div w:id="491214071">
              <w:marLeft w:val="360"/>
              <w:marRight w:val="0"/>
              <w:marTop w:val="0"/>
              <w:marBottom w:val="72"/>
              <w:divBdr>
                <w:top w:val="none" w:sz="0" w:space="0" w:color="auto"/>
                <w:left w:val="none" w:sz="0" w:space="0" w:color="auto"/>
                <w:bottom w:val="none" w:sz="0" w:space="0" w:color="auto"/>
                <w:right w:val="none" w:sz="0" w:space="0" w:color="auto"/>
              </w:divBdr>
              <w:divsChild>
                <w:div w:id="1620186795">
                  <w:marLeft w:val="0"/>
                  <w:marRight w:val="0"/>
                  <w:marTop w:val="0"/>
                  <w:marBottom w:val="0"/>
                  <w:divBdr>
                    <w:top w:val="none" w:sz="0" w:space="0" w:color="auto"/>
                    <w:left w:val="none" w:sz="0" w:space="0" w:color="auto"/>
                    <w:bottom w:val="none" w:sz="0" w:space="0" w:color="auto"/>
                    <w:right w:val="none" w:sz="0" w:space="0" w:color="auto"/>
                  </w:divBdr>
                </w:div>
              </w:divsChild>
            </w:div>
            <w:div w:id="1808666831">
              <w:marLeft w:val="360"/>
              <w:marRight w:val="0"/>
              <w:marTop w:val="0"/>
              <w:marBottom w:val="72"/>
              <w:divBdr>
                <w:top w:val="none" w:sz="0" w:space="0" w:color="auto"/>
                <w:left w:val="none" w:sz="0" w:space="0" w:color="auto"/>
                <w:bottom w:val="none" w:sz="0" w:space="0" w:color="auto"/>
                <w:right w:val="none" w:sz="0" w:space="0" w:color="auto"/>
              </w:divBdr>
              <w:divsChild>
                <w:div w:id="892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0012">
          <w:marLeft w:val="0"/>
          <w:marRight w:val="0"/>
          <w:marTop w:val="72"/>
          <w:marBottom w:val="0"/>
          <w:divBdr>
            <w:top w:val="none" w:sz="0" w:space="0" w:color="auto"/>
            <w:left w:val="none" w:sz="0" w:space="0" w:color="auto"/>
            <w:bottom w:val="none" w:sz="0" w:space="0" w:color="auto"/>
            <w:right w:val="none" w:sz="0" w:space="0" w:color="auto"/>
          </w:divBdr>
          <w:divsChild>
            <w:div w:id="1707028183">
              <w:marLeft w:val="0"/>
              <w:marRight w:val="0"/>
              <w:marTop w:val="0"/>
              <w:marBottom w:val="0"/>
              <w:divBdr>
                <w:top w:val="none" w:sz="0" w:space="0" w:color="auto"/>
                <w:left w:val="none" w:sz="0" w:space="0" w:color="auto"/>
                <w:bottom w:val="none" w:sz="0" w:space="0" w:color="auto"/>
                <w:right w:val="none" w:sz="0" w:space="0" w:color="auto"/>
              </w:divBdr>
            </w:div>
            <w:div w:id="460151449">
              <w:marLeft w:val="360"/>
              <w:marRight w:val="0"/>
              <w:marTop w:val="72"/>
              <w:marBottom w:val="72"/>
              <w:divBdr>
                <w:top w:val="none" w:sz="0" w:space="0" w:color="auto"/>
                <w:left w:val="none" w:sz="0" w:space="0" w:color="auto"/>
                <w:bottom w:val="none" w:sz="0" w:space="0" w:color="auto"/>
                <w:right w:val="none" w:sz="0" w:space="0" w:color="auto"/>
              </w:divBdr>
              <w:divsChild>
                <w:div w:id="1896890030">
                  <w:marLeft w:val="0"/>
                  <w:marRight w:val="0"/>
                  <w:marTop w:val="0"/>
                  <w:marBottom w:val="0"/>
                  <w:divBdr>
                    <w:top w:val="none" w:sz="0" w:space="0" w:color="auto"/>
                    <w:left w:val="none" w:sz="0" w:space="0" w:color="auto"/>
                    <w:bottom w:val="none" w:sz="0" w:space="0" w:color="auto"/>
                    <w:right w:val="none" w:sz="0" w:space="0" w:color="auto"/>
                  </w:divBdr>
                </w:div>
                <w:div w:id="815103833">
                  <w:marLeft w:val="360"/>
                  <w:marRight w:val="0"/>
                  <w:marTop w:val="0"/>
                  <w:marBottom w:val="0"/>
                  <w:divBdr>
                    <w:top w:val="none" w:sz="0" w:space="0" w:color="auto"/>
                    <w:left w:val="none" w:sz="0" w:space="0" w:color="auto"/>
                    <w:bottom w:val="none" w:sz="0" w:space="0" w:color="auto"/>
                    <w:right w:val="none" w:sz="0" w:space="0" w:color="auto"/>
                  </w:divBdr>
                  <w:divsChild>
                    <w:div w:id="944773143">
                      <w:marLeft w:val="0"/>
                      <w:marRight w:val="0"/>
                      <w:marTop w:val="0"/>
                      <w:marBottom w:val="0"/>
                      <w:divBdr>
                        <w:top w:val="none" w:sz="0" w:space="0" w:color="auto"/>
                        <w:left w:val="none" w:sz="0" w:space="0" w:color="auto"/>
                        <w:bottom w:val="none" w:sz="0" w:space="0" w:color="auto"/>
                        <w:right w:val="none" w:sz="0" w:space="0" w:color="auto"/>
                      </w:divBdr>
                    </w:div>
                  </w:divsChild>
                </w:div>
                <w:div w:id="942882227">
                  <w:marLeft w:val="360"/>
                  <w:marRight w:val="0"/>
                  <w:marTop w:val="0"/>
                  <w:marBottom w:val="0"/>
                  <w:divBdr>
                    <w:top w:val="none" w:sz="0" w:space="0" w:color="auto"/>
                    <w:left w:val="none" w:sz="0" w:space="0" w:color="auto"/>
                    <w:bottom w:val="none" w:sz="0" w:space="0" w:color="auto"/>
                    <w:right w:val="none" w:sz="0" w:space="0" w:color="auto"/>
                  </w:divBdr>
                  <w:divsChild>
                    <w:div w:id="790245094">
                      <w:marLeft w:val="0"/>
                      <w:marRight w:val="0"/>
                      <w:marTop w:val="0"/>
                      <w:marBottom w:val="0"/>
                      <w:divBdr>
                        <w:top w:val="none" w:sz="0" w:space="0" w:color="auto"/>
                        <w:left w:val="none" w:sz="0" w:space="0" w:color="auto"/>
                        <w:bottom w:val="none" w:sz="0" w:space="0" w:color="auto"/>
                        <w:right w:val="none" w:sz="0" w:space="0" w:color="auto"/>
                      </w:divBdr>
                    </w:div>
                  </w:divsChild>
                </w:div>
                <w:div w:id="1290432143">
                  <w:marLeft w:val="360"/>
                  <w:marRight w:val="0"/>
                  <w:marTop w:val="0"/>
                  <w:marBottom w:val="0"/>
                  <w:divBdr>
                    <w:top w:val="none" w:sz="0" w:space="0" w:color="auto"/>
                    <w:left w:val="none" w:sz="0" w:space="0" w:color="auto"/>
                    <w:bottom w:val="none" w:sz="0" w:space="0" w:color="auto"/>
                    <w:right w:val="none" w:sz="0" w:space="0" w:color="auto"/>
                  </w:divBdr>
                  <w:divsChild>
                    <w:div w:id="517888462">
                      <w:marLeft w:val="0"/>
                      <w:marRight w:val="0"/>
                      <w:marTop w:val="0"/>
                      <w:marBottom w:val="0"/>
                      <w:divBdr>
                        <w:top w:val="none" w:sz="0" w:space="0" w:color="auto"/>
                        <w:left w:val="none" w:sz="0" w:space="0" w:color="auto"/>
                        <w:bottom w:val="none" w:sz="0" w:space="0" w:color="auto"/>
                        <w:right w:val="none" w:sz="0" w:space="0" w:color="auto"/>
                      </w:divBdr>
                    </w:div>
                  </w:divsChild>
                </w:div>
                <w:div w:id="1699356364">
                  <w:marLeft w:val="360"/>
                  <w:marRight w:val="0"/>
                  <w:marTop w:val="0"/>
                  <w:marBottom w:val="0"/>
                  <w:divBdr>
                    <w:top w:val="none" w:sz="0" w:space="0" w:color="auto"/>
                    <w:left w:val="none" w:sz="0" w:space="0" w:color="auto"/>
                    <w:bottom w:val="none" w:sz="0" w:space="0" w:color="auto"/>
                    <w:right w:val="none" w:sz="0" w:space="0" w:color="auto"/>
                  </w:divBdr>
                  <w:divsChild>
                    <w:div w:id="690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7342">
              <w:marLeft w:val="360"/>
              <w:marRight w:val="0"/>
              <w:marTop w:val="0"/>
              <w:marBottom w:val="72"/>
              <w:divBdr>
                <w:top w:val="none" w:sz="0" w:space="0" w:color="auto"/>
                <w:left w:val="none" w:sz="0" w:space="0" w:color="auto"/>
                <w:bottom w:val="none" w:sz="0" w:space="0" w:color="auto"/>
                <w:right w:val="none" w:sz="0" w:space="0" w:color="auto"/>
              </w:divBdr>
              <w:divsChild>
                <w:div w:id="14304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718">
          <w:marLeft w:val="0"/>
          <w:marRight w:val="0"/>
          <w:marTop w:val="72"/>
          <w:marBottom w:val="0"/>
          <w:divBdr>
            <w:top w:val="none" w:sz="0" w:space="0" w:color="auto"/>
            <w:left w:val="none" w:sz="0" w:space="0" w:color="auto"/>
            <w:bottom w:val="none" w:sz="0" w:space="0" w:color="auto"/>
            <w:right w:val="none" w:sz="0" w:space="0" w:color="auto"/>
          </w:divBdr>
          <w:divsChild>
            <w:div w:id="4704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8749">
      <w:bodyDiv w:val="1"/>
      <w:marLeft w:val="0"/>
      <w:marRight w:val="0"/>
      <w:marTop w:val="0"/>
      <w:marBottom w:val="0"/>
      <w:divBdr>
        <w:top w:val="none" w:sz="0" w:space="0" w:color="auto"/>
        <w:left w:val="none" w:sz="0" w:space="0" w:color="auto"/>
        <w:bottom w:val="none" w:sz="0" w:space="0" w:color="auto"/>
        <w:right w:val="none" w:sz="0" w:space="0" w:color="auto"/>
      </w:divBdr>
      <w:divsChild>
        <w:div w:id="1194927851">
          <w:marLeft w:val="0"/>
          <w:marRight w:val="0"/>
          <w:marTop w:val="72"/>
          <w:marBottom w:val="0"/>
          <w:divBdr>
            <w:top w:val="none" w:sz="0" w:space="0" w:color="auto"/>
            <w:left w:val="none" w:sz="0" w:space="0" w:color="auto"/>
            <w:bottom w:val="none" w:sz="0" w:space="0" w:color="auto"/>
            <w:right w:val="none" w:sz="0" w:space="0" w:color="auto"/>
          </w:divBdr>
          <w:divsChild>
            <w:div w:id="1399667341">
              <w:marLeft w:val="0"/>
              <w:marRight w:val="0"/>
              <w:marTop w:val="0"/>
              <w:marBottom w:val="0"/>
              <w:divBdr>
                <w:top w:val="none" w:sz="0" w:space="0" w:color="auto"/>
                <w:left w:val="none" w:sz="0" w:space="0" w:color="auto"/>
                <w:bottom w:val="none" w:sz="0" w:space="0" w:color="auto"/>
                <w:right w:val="none" w:sz="0" w:space="0" w:color="auto"/>
              </w:divBdr>
            </w:div>
          </w:divsChild>
        </w:div>
        <w:div w:id="305597390">
          <w:marLeft w:val="0"/>
          <w:marRight w:val="0"/>
          <w:marTop w:val="72"/>
          <w:marBottom w:val="0"/>
          <w:divBdr>
            <w:top w:val="none" w:sz="0" w:space="0" w:color="auto"/>
            <w:left w:val="none" w:sz="0" w:space="0" w:color="auto"/>
            <w:bottom w:val="none" w:sz="0" w:space="0" w:color="auto"/>
            <w:right w:val="none" w:sz="0" w:space="0" w:color="auto"/>
          </w:divBdr>
          <w:divsChild>
            <w:div w:id="204606502">
              <w:marLeft w:val="0"/>
              <w:marRight w:val="0"/>
              <w:marTop w:val="0"/>
              <w:marBottom w:val="0"/>
              <w:divBdr>
                <w:top w:val="none" w:sz="0" w:space="0" w:color="auto"/>
                <w:left w:val="none" w:sz="0" w:space="0" w:color="auto"/>
                <w:bottom w:val="none" w:sz="0" w:space="0" w:color="auto"/>
                <w:right w:val="none" w:sz="0" w:space="0" w:color="auto"/>
              </w:divBdr>
            </w:div>
          </w:divsChild>
        </w:div>
        <w:div w:id="1779638219">
          <w:marLeft w:val="0"/>
          <w:marRight w:val="0"/>
          <w:marTop w:val="72"/>
          <w:marBottom w:val="0"/>
          <w:divBdr>
            <w:top w:val="none" w:sz="0" w:space="0" w:color="auto"/>
            <w:left w:val="none" w:sz="0" w:space="0" w:color="auto"/>
            <w:bottom w:val="none" w:sz="0" w:space="0" w:color="auto"/>
            <w:right w:val="none" w:sz="0" w:space="0" w:color="auto"/>
          </w:divBdr>
          <w:divsChild>
            <w:div w:id="2042433092">
              <w:marLeft w:val="0"/>
              <w:marRight w:val="0"/>
              <w:marTop w:val="0"/>
              <w:marBottom w:val="0"/>
              <w:divBdr>
                <w:top w:val="none" w:sz="0" w:space="0" w:color="auto"/>
                <w:left w:val="none" w:sz="0" w:space="0" w:color="auto"/>
                <w:bottom w:val="none" w:sz="0" w:space="0" w:color="auto"/>
                <w:right w:val="none" w:sz="0" w:space="0" w:color="auto"/>
              </w:divBdr>
            </w:div>
            <w:div w:id="441192146">
              <w:marLeft w:val="360"/>
              <w:marRight w:val="0"/>
              <w:marTop w:val="72"/>
              <w:marBottom w:val="72"/>
              <w:divBdr>
                <w:top w:val="none" w:sz="0" w:space="0" w:color="auto"/>
                <w:left w:val="none" w:sz="0" w:space="0" w:color="auto"/>
                <w:bottom w:val="none" w:sz="0" w:space="0" w:color="auto"/>
                <w:right w:val="none" w:sz="0" w:space="0" w:color="auto"/>
              </w:divBdr>
              <w:divsChild>
                <w:div w:id="1325546424">
                  <w:marLeft w:val="0"/>
                  <w:marRight w:val="0"/>
                  <w:marTop w:val="0"/>
                  <w:marBottom w:val="0"/>
                  <w:divBdr>
                    <w:top w:val="none" w:sz="0" w:space="0" w:color="auto"/>
                    <w:left w:val="none" w:sz="0" w:space="0" w:color="auto"/>
                    <w:bottom w:val="none" w:sz="0" w:space="0" w:color="auto"/>
                    <w:right w:val="none" w:sz="0" w:space="0" w:color="auto"/>
                  </w:divBdr>
                </w:div>
              </w:divsChild>
            </w:div>
            <w:div w:id="1168519044">
              <w:marLeft w:val="360"/>
              <w:marRight w:val="0"/>
              <w:marTop w:val="0"/>
              <w:marBottom w:val="72"/>
              <w:divBdr>
                <w:top w:val="none" w:sz="0" w:space="0" w:color="auto"/>
                <w:left w:val="none" w:sz="0" w:space="0" w:color="auto"/>
                <w:bottom w:val="none" w:sz="0" w:space="0" w:color="auto"/>
                <w:right w:val="none" w:sz="0" w:space="0" w:color="auto"/>
              </w:divBdr>
              <w:divsChild>
                <w:div w:id="3993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8995">
          <w:marLeft w:val="0"/>
          <w:marRight w:val="0"/>
          <w:marTop w:val="72"/>
          <w:marBottom w:val="0"/>
          <w:divBdr>
            <w:top w:val="none" w:sz="0" w:space="0" w:color="auto"/>
            <w:left w:val="none" w:sz="0" w:space="0" w:color="auto"/>
            <w:bottom w:val="none" w:sz="0" w:space="0" w:color="auto"/>
            <w:right w:val="none" w:sz="0" w:space="0" w:color="auto"/>
          </w:divBdr>
          <w:divsChild>
            <w:div w:id="1025793959">
              <w:marLeft w:val="0"/>
              <w:marRight w:val="0"/>
              <w:marTop w:val="0"/>
              <w:marBottom w:val="0"/>
              <w:divBdr>
                <w:top w:val="none" w:sz="0" w:space="0" w:color="auto"/>
                <w:left w:val="none" w:sz="0" w:space="0" w:color="auto"/>
                <w:bottom w:val="none" w:sz="0" w:space="0" w:color="auto"/>
                <w:right w:val="none" w:sz="0" w:space="0" w:color="auto"/>
              </w:divBdr>
            </w:div>
          </w:divsChild>
        </w:div>
        <w:div w:id="624845306">
          <w:marLeft w:val="0"/>
          <w:marRight w:val="0"/>
          <w:marTop w:val="72"/>
          <w:marBottom w:val="0"/>
          <w:divBdr>
            <w:top w:val="none" w:sz="0" w:space="0" w:color="auto"/>
            <w:left w:val="none" w:sz="0" w:space="0" w:color="auto"/>
            <w:bottom w:val="none" w:sz="0" w:space="0" w:color="auto"/>
            <w:right w:val="none" w:sz="0" w:space="0" w:color="auto"/>
          </w:divBdr>
          <w:divsChild>
            <w:div w:id="3288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34" Type="http://schemas.microsoft.com/office/2018/08/relationships/commentsExtensible" Target="commentsExtensible.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1860</TotalTime>
  <Pages>12</Pages>
  <Words>5225</Words>
  <Characters>31351</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dc:creator>
  <cp:lastModifiedBy>marekslupczewskitorun@gmail.com</cp:lastModifiedBy>
  <cp:revision>9</cp:revision>
  <dcterms:created xsi:type="dcterms:W3CDTF">2022-02-10T21:13:00Z</dcterms:created>
  <dcterms:modified xsi:type="dcterms:W3CDTF">2022-03-04T11:37:00Z</dcterms:modified>
</cp:coreProperties>
</file>