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A823" w14:textId="77777777" w:rsidR="00586150" w:rsidRDefault="00586150" w:rsidP="00586150">
      <w:pPr>
        <w:spacing w:line="240" w:lineRule="auto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 wp14:anchorId="3A55CD3B" wp14:editId="08AF1B11">
            <wp:extent cx="1912620" cy="1394460"/>
            <wp:effectExtent l="0" t="0" r="0" b="0"/>
            <wp:docPr id="1" name="Obraz 1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0AD4" w14:textId="77777777" w:rsidR="00586150" w:rsidRPr="00883023" w:rsidRDefault="00586150" w:rsidP="00586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23">
        <w:rPr>
          <w:rFonts w:ascii="Times New Roman" w:hAnsi="Times New Roman"/>
          <w:b/>
          <w:sz w:val="24"/>
          <w:szCs w:val="24"/>
        </w:rPr>
        <w:t xml:space="preserve">OŚRODEK STUDIÓW FISKALNYCH </w:t>
      </w:r>
    </w:p>
    <w:p w14:paraId="1E891EC4" w14:textId="77777777" w:rsidR="00C11C53" w:rsidRDefault="00586150" w:rsidP="008D4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23">
        <w:rPr>
          <w:rFonts w:ascii="Times New Roman" w:hAnsi="Times New Roman"/>
          <w:b/>
          <w:sz w:val="24"/>
          <w:szCs w:val="24"/>
        </w:rPr>
        <w:t>UNIWERSYTETU MIKOŁAJA KOPERNIKA</w:t>
      </w:r>
    </w:p>
    <w:p w14:paraId="0D6DFE14" w14:textId="77777777" w:rsidR="00586150" w:rsidRPr="008D421F" w:rsidRDefault="00586150" w:rsidP="008D4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023">
        <w:rPr>
          <w:rFonts w:ascii="Times New Roman" w:hAnsi="Times New Roman"/>
          <w:b/>
          <w:sz w:val="24"/>
          <w:szCs w:val="24"/>
        </w:rPr>
        <w:t xml:space="preserve"> ZAPRASZA NA KONFERENCJĘ</w:t>
      </w:r>
    </w:p>
    <w:p w14:paraId="4FB8F392" w14:textId="77777777" w:rsidR="00586150" w:rsidRDefault="00586150" w:rsidP="00586150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IV </w:t>
      </w:r>
      <w:r w:rsidR="008D421F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TORUŃSKI </w:t>
      </w:r>
      <w:r w:rsidRPr="00883023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PRZEGLĄD ORZECZNICTWA PODATKOWEGO</w:t>
      </w:r>
    </w:p>
    <w:p w14:paraId="05650B9F" w14:textId="77777777" w:rsidR="00C11C53" w:rsidRPr="004714FD" w:rsidRDefault="00C11C53" w:rsidP="00C11C53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1-2 marca 2019</w:t>
      </w:r>
      <w:r w:rsidRPr="004714F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r.,</w:t>
      </w:r>
    </w:p>
    <w:p w14:paraId="107B959A" w14:textId="77777777" w:rsidR="00C11C53" w:rsidRPr="00883023" w:rsidRDefault="00C11C53" w:rsidP="00C11C53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8302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Wydział Prawa i Administracji UMK w Toruniu,</w:t>
      </w:r>
    </w:p>
    <w:p w14:paraId="7026E951" w14:textId="77777777" w:rsidR="00C11C53" w:rsidRPr="00883023" w:rsidRDefault="00C11C53" w:rsidP="00C11C53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88302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ul. Bojarskiego 3 </w:t>
      </w:r>
    </w:p>
    <w:p w14:paraId="1FD1C75B" w14:textId="77777777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Formuła konferencji </w:t>
      </w:r>
      <w:r w:rsidR="00C778CD">
        <w:rPr>
          <w:rFonts w:ascii="Bookman Old Style" w:hAnsi="Bookman Old Style" w:cs="Bookman Old Style"/>
          <w:color w:val="000000"/>
          <w:sz w:val="20"/>
          <w:szCs w:val="20"/>
        </w:rPr>
        <w:t xml:space="preserve">niezmiennie 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polega na prezentacji i analizie najważniejszych oraz najbardziej reprezentatywnych orzeczeń sądów i trybunałów dotyczących problematyki podatkowej zapadłych w roku 2018. </w:t>
      </w:r>
    </w:p>
    <w:p w14:paraId="4DD9BC82" w14:textId="56B99A3A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>Ponownie zaprosiliśmy do udziału bardzo zróżnicowane grono referentów (sędziów, doradców podatkowych, radców prawnych, pracowników naukowych</w:t>
      </w:r>
      <w:r w:rsidR="00E06454">
        <w:rPr>
          <w:rFonts w:ascii="Bookman Old Style" w:hAnsi="Bookman Old Style" w:cs="Bookman Old Style"/>
          <w:color w:val="000000"/>
          <w:sz w:val="20"/>
          <w:szCs w:val="20"/>
        </w:rPr>
        <w:t>, pracowników administracji podatkowej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), którzy zapewnią wielostronną analizę stanu orzecznictwa. </w:t>
      </w:r>
    </w:p>
    <w:p w14:paraId="0CD68FE7" w14:textId="13908B60" w:rsidR="008B72DD" w:rsidRPr="00C11C53" w:rsidRDefault="00C11C53" w:rsidP="008B7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Referat rozpoczynający konferencję na temat: </w:t>
      </w:r>
      <w:r w:rsidRPr="00C11C53">
        <w:rPr>
          <w:rFonts w:ascii="Bookman Old Style" w:hAnsi="Bookman Old Style" w:cs="Bookman Old Style"/>
          <w:i/>
          <w:iCs/>
          <w:color w:val="000000"/>
          <w:sz w:val="20"/>
          <w:szCs w:val="20"/>
        </w:rPr>
        <w:t xml:space="preserve">ZASADA "IN DUBIO PRO TRIBUTARIO" W ORZECZENIACH SĄDÓW ADMINISTRACYJNYCH - DOŚWIADCZENIA W STOSOWANIU, 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wygłosi Prezes Izby Finansowej NSA sędzia Jan Rudowski. </w:t>
      </w:r>
      <w:r w:rsidR="008B72DD">
        <w:rPr>
          <w:rFonts w:ascii="Bookman Old Style" w:hAnsi="Bookman Old Style" w:cs="Bookman Old Style"/>
          <w:color w:val="000000"/>
          <w:sz w:val="20"/>
          <w:szCs w:val="20"/>
        </w:rPr>
        <w:t>W dyskusjach wezmą udział także przedstawiciele Ministerstwa Finansów (m. in. Pan Maciej Żukowski Dyrektor Departamentu Podatków Dochodowych MF)</w:t>
      </w:r>
    </w:p>
    <w:p w14:paraId="67326F14" w14:textId="00FA4D32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W tym roku wprowadziliśmy zmiany w zakresie organizacji konferencji, Wydłużyliśmy czas jej trwania i wprowadziliśmy nowe rozwiązania organizacyjne. Zmiany wynikają m. in. ze znacznego wzrostu liczby uczestników (od ok. 45 osób w 2016 r. do ok. 150 uczestników w roku 2018). Staramy się mimo to podtrzymać zasadę, że nasza konferencja nie jest miejscem „wysłuchiwania” referatów, ale przede wszystkim </w:t>
      </w:r>
      <w:r w:rsidR="00E06454">
        <w:rPr>
          <w:rFonts w:ascii="Bookman Old Style" w:hAnsi="Bookman Old Style" w:cs="Bookman Old Style"/>
          <w:color w:val="000000"/>
          <w:sz w:val="20"/>
          <w:szCs w:val="20"/>
        </w:rPr>
        <w:t>miejscem żywej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 dyskusji nad orzecznictwem. Służyć ma temu m. in. organizacja kameralnych śniadań podatkowych drugiego dnia konferencji. Będzie to na pewno dla nas i uczestników pewien problem organizacyjny, ale efekt – mam nadzieję – będzie </w:t>
      </w:r>
      <w:r>
        <w:rPr>
          <w:rFonts w:ascii="Bookman Old Style" w:hAnsi="Bookman Old Style" w:cs="Bookman Old Style"/>
          <w:color w:val="000000"/>
          <w:sz w:val="20"/>
          <w:szCs w:val="20"/>
        </w:rPr>
        <w:t>tego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 wart. </w:t>
      </w:r>
    </w:p>
    <w:p w14:paraId="14DC3446" w14:textId="77777777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W poprzednich latach nie ograniczaliśmy w żaden sposób możliwości udziału w naszej konferencji. Jednak – cieszący nas oczywiście – wzrost liczby uczestników zmusił nas do wprowadzenia z powodów organizacyjnych limitu uczestników. Po prostu już w 2018 r. zbliżyliśmy się do granic możliwości zapewnienia komfortowego udziału w konferencji. Stąd też prosimy o rezerwację noclegów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(nie są one objęte ofertą organizatorów) 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dopiero po potwierdzeniu możliwości udziału przez organizatorów. Prosimy też o zapoznanie się z informacją o przebiegu konferencji i dokonanie wyboru śniadania podatkowego oraz podanie kontaktowego adresu email w celu umożliwienia kontaktu z Państwem. </w:t>
      </w:r>
    </w:p>
    <w:p w14:paraId="5ECE2B62" w14:textId="77777777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Liczymy na aktywny udział w dyskusjach w ramach konferencji i podczas kolacji na Starym Mieście w Toruniu. </w:t>
      </w:r>
    </w:p>
    <w:p w14:paraId="26633328" w14:textId="77777777" w:rsidR="00C11C53" w:rsidRPr="00C11C53" w:rsidRDefault="00C11C53" w:rsidP="00C11C5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dr hab. Wojciech Morawski, prof. UMK </w:t>
      </w:r>
    </w:p>
    <w:p w14:paraId="46AE563B" w14:textId="1D702878" w:rsidR="00C11C53" w:rsidRDefault="00C11C53" w:rsidP="00C11C5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Kierownik Naukowy Konferencji </w:t>
      </w:r>
    </w:p>
    <w:p w14:paraId="72CD4B00" w14:textId="1594F2BA" w:rsidR="00E06454" w:rsidRDefault="00E06454" w:rsidP="00C11C5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Kierownik Katedry Prawa Finansów Publicznych</w:t>
      </w:r>
    </w:p>
    <w:p w14:paraId="0E3077BB" w14:textId="555AFDAB" w:rsidR="00E06454" w:rsidRPr="00C11C53" w:rsidRDefault="00E06454" w:rsidP="00C11C5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Wydział Prawa i Administracji UMK</w:t>
      </w:r>
    </w:p>
    <w:p w14:paraId="292EE0F7" w14:textId="77777777" w:rsidR="008D421F" w:rsidRDefault="00C11C53" w:rsidP="00C11C53">
      <w:pPr>
        <w:spacing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C11C5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Więcej informacji o konferencji</w:t>
      </w:r>
      <w:r w:rsidRPr="00C11C53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hyperlink r:id="rId9" w:history="1">
        <w:r w:rsidRPr="00F51128">
          <w:rPr>
            <w:rStyle w:val="Hipercze"/>
            <w:rFonts w:ascii="Bookman Old Style" w:hAnsi="Bookman Old Style" w:cs="Bookman Old Style"/>
            <w:sz w:val="20"/>
            <w:szCs w:val="20"/>
          </w:rPr>
          <w:t>https://www.law.umk.pl/osf/konferencje/torunski-przeglad-orzecznictwa-podatkowego/2019-2/</w:t>
        </w:r>
      </w:hyperlink>
    </w:p>
    <w:p w14:paraId="06791ACE" w14:textId="77777777" w:rsidR="00C11C53" w:rsidRDefault="00C11C53" w:rsidP="00C11C53">
      <w:pPr>
        <w:spacing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78FB7532" w14:textId="77777777" w:rsidR="00C81CE6" w:rsidRDefault="00C81CE6" w:rsidP="00C11C53">
      <w:pPr>
        <w:pStyle w:val="Default"/>
        <w:jc w:val="both"/>
        <w:rPr>
          <w:b/>
          <w:iCs/>
          <w:sz w:val="18"/>
          <w:szCs w:val="18"/>
        </w:rPr>
      </w:pPr>
    </w:p>
    <w:p w14:paraId="6D31EAC1" w14:textId="0665585C" w:rsidR="00E06454" w:rsidRPr="00E06454" w:rsidRDefault="00E06454" w:rsidP="00C11C53">
      <w:pPr>
        <w:pStyle w:val="Default"/>
        <w:jc w:val="both"/>
        <w:rPr>
          <w:b/>
          <w:iCs/>
          <w:sz w:val="18"/>
          <w:szCs w:val="18"/>
        </w:rPr>
      </w:pPr>
      <w:r w:rsidRPr="00E06454">
        <w:rPr>
          <w:b/>
          <w:iCs/>
          <w:sz w:val="18"/>
          <w:szCs w:val="18"/>
        </w:rPr>
        <w:t>Program konferencji</w:t>
      </w:r>
    </w:p>
    <w:p w14:paraId="04FA527A" w14:textId="64882203" w:rsidR="00574D01" w:rsidRPr="00C11C53" w:rsidRDefault="00574D01" w:rsidP="00C11C53">
      <w:pPr>
        <w:pStyle w:val="Default"/>
        <w:jc w:val="both"/>
        <w:rPr>
          <w:sz w:val="18"/>
          <w:szCs w:val="18"/>
        </w:rPr>
      </w:pPr>
      <w:r w:rsidRPr="00C11C53">
        <w:rPr>
          <w:i/>
          <w:iCs/>
          <w:sz w:val="18"/>
          <w:szCs w:val="18"/>
        </w:rPr>
        <w:lastRenderedPageBreak/>
        <w:t>9:</w:t>
      </w:r>
      <w:r w:rsidR="00E06454">
        <w:rPr>
          <w:i/>
          <w:iCs/>
          <w:sz w:val="18"/>
          <w:szCs w:val="18"/>
        </w:rPr>
        <w:t>45</w:t>
      </w:r>
      <w:r w:rsidRPr="00C11C53">
        <w:rPr>
          <w:i/>
          <w:iCs/>
          <w:sz w:val="18"/>
          <w:szCs w:val="18"/>
        </w:rPr>
        <w:t>-10.15 Rejestracja uczestników</w:t>
      </w:r>
      <w:r w:rsidR="00586150" w:rsidRPr="00C11C53">
        <w:rPr>
          <w:i/>
          <w:iCs/>
          <w:sz w:val="18"/>
          <w:szCs w:val="18"/>
        </w:rPr>
        <w:t>/kawa na powitanie</w:t>
      </w:r>
      <w:r w:rsidRPr="00C11C53">
        <w:rPr>
          <w:i/>
          <w:iCs/>
          <w:sz w:val="18"/>
          <w:szCs w:val="18"/>
        </w:rPr>
        <w:t xml:space="preserve"> </w:t>
      </w:r>
    </w:p>
    <w:p w14:paraId="7119B36E" w14:textId="1C3F84BB" w:rsidR="00574D01" w:rsidRPr="00C11C53" w:rsidRDefault="00574D01" w:rsidP="00C11C53">
      <w:pPr>
        <w:pStyle w:val="Default"/>
        <w:jc w:val="both"/>
        <w:rPr>
          <w:sz w:val="18"/>
          <w:szCs w:val="18"/>
        </w:rPr>
      </w:pPr>
      <w:r w:rsidRPr="00C11C53">
        <w:rPr>
          <w:b/>
          <w:bCs/>
          <w:i/>
          <w:iCs/>
          <w:sz w:val="18"/>
          <w:szCs w:val="18"/>
        </w:rPr>
        <w:t xml:space="preserve">10.15-10.30 </w:t>
      </w:r>
      <w:r w:rsidR="00C81CE6">
        <w:rPr>
          <w:b/>
          <w:bCs/>
          <w:i/>
          <w:iCs/>
          <w:sz w:val="18"/>
          <w:szCs w:val="18"/>
        </w:rPr>
        <w:t>R</w:t>
      </w:r>
      <w:r w:rsidRPr="00C11C53">
        <w:rPr>
          <w:b/>
          <w:bCs/>
          <w:i/>
          <w:iCs/>
          <w:sz w:val="18"/>
          <w:szCs w:val="18"/>
        </w:rPr>
        <w:t>ozpoczęcie,</w:t>
      </w:r>
      <w:r w:rsidR="00C81CE6">
        <w:rPr>
          <w:b/>
          <w:bCs/>
          <w:i/>
          <w:iCs/>
          <w:sz w:val="18"/>
          <w:szCs w:val="18"/>
        </w:rPr>
        <w:t xml:space="preserve"> </w:t>
      </w:r>
      <w:r w:rsidRPr="00C11C53">
        <w:rPr>
          <w:b/>
          <w:bCs/>
          <w:i/>
          <w:iCs/>
          <w:sz w:val="18"/>
          <w:szCs w:val="18"/>
        </w:rPr>
        <w:t xml:space="preserve">Dziekan </w:t>
      </w:r>
      <w:proofErr w:type="spellStart"/>
      <w:r w:rsidRPr="00C11C53">
        <w:rPr>
          <w:b/>
          <w:bCs/>
          <w:i/>
          <w:iCs/>
          <w:sz w:val="18"/>
          <w:szCs w:val="18"/>
        </w:rPr>
        <w:t>WPiA</w:t>
      </w:r>
      <w:proofErr w:type="spellEnd"/>
      <w:r w:rsidRPr="00C11C53">
        <w:rPr>
          <w:b/>
          <w:bCs/>
          <w:i/>
          <w:iCs/>
          <w:sz w:val="18"/>
          <w:szCs w:val="18"/>
        </w:rPr>
        <w:t xml:space="preserve"> prof. dr hab. Zbigniew Witkowski</w:t>
      </w:r>
      <w:r w:rsidR="00C81CE6">
        <w:rPr>
          <w:b/>
          <w:bCs/>
          <w:i/>
          <w:iCs/>
          <w:sz w:val="18"/>
          <w:szCs w:val="18"/>
        </w:rPr>
        <w:t>; K</w:t>
      </w:r>
      <w:r w:rsidR="00C81CE6" w:rsidRPr="00C11C53">
        <w:rPr>
          <w:b/>
          <w:bCs/>
          <w:i/>
          <w:iCs/>
          <w:sz w:val="18"/>
          <w:szCs w:val="18"/>
        </w:rPr>
        <w:t>ierownik Zespołu Ekspertów O</w:t>
      </w:r>
      <w:r w:rsidR="00C81CE6">
        <w:rPr>
          <w:b/>
          <w:bCs/>
          <w:i/>
          <w:iCs/>
          <w:sz w:val="18"/>
          <w:szCs w:val="18"/>
        </w:rPr>
        <w:t>SF p</w:t>
      </w:r>
      <w:r w:rsidRPr="00C11C53">
        <w:rPr>
          <w:b/>
          <w:bCs/>
          <w:i/>
          <w:iCs/>
          <w:sz w:val="18"/>
          <w:szCs w:val="18"/>
        </w:rPr>
        <w:t>rof. dr hab. Bogumił Brzeziński</w:t>
      </w:r>
      <w:r w:rsidR="00586150" w:rsidRPr="00C11C53">
        <w:rPr>
          <w:b/>
          <w:bCs/>
          <w:i/>
          <w:iCs/>
          <w:sz w:val="18"/>
          <w:szCs w:val="18"/>
        </w:rPr>
        <w:t xml:space="preserve"> dr h.c.</w:t>
      </w:r>
      <w:r w:rsidR="00C81CE6">
        <w:rPr>
          <w:b/>
          <w:bCs/>
          <w:i/>
          <w:iCs/>
          <w:sz w:val="18"/>
          <w:szCs w:val="18"/>
        </w:rPr>
        <w:t xml:space="preserve">; </w:t>
      </w:r>
      <w:r w:rsidRPr="00C11C53">
        <w:rPr>
          <w:b/>
          <w:bCs/>
          <w:i/>
          <w:iCs/>
          <w:sz w:val="18"/>
          <w:szCs w:val="18"/>
        </w:rPr>
        <w:t xml:space="preserve">Prezes IF NSA Sędzia Jan Rudowski </w:t>
      </w:r>
    </w:p>
    <w:p w14:paraId="02056DF6" w14:textId="3B1E984A" w:rsidR="00507F54" w:rsidRPr="00C11C53" w:rsidRDefault="00574D01" w:rsidP="00C11C53">
      <w:pPr>
        <w:pStyle w:val="Default"/>
        <w:jc w:val="both"/>
        <w:rPr>
          <w:b/>
          <w:bCs/>
          <w:i/>
          <w:iCs/>
          <w:sz w:val="18"/>
          <w:szCs w:val="18"/>
        </w:rPr>
      </w:pPr>
      <w:r w:rsidRPr="00C11C53">
        <w:rPr>
          <w:b/>
          <w:bCs/>
          <w:i/>
          <w:iCs/>
          <w:sz w:val="18"/>
          <w:szCs w:val="18"/>
        </w:rPr>
        <w:t>10:30 – 1</w:t>
      </w:r>
      <w:r w:rsidR="001722F3" w:rsidRPr="00C11C53">
        <w:rPr>
          <w:b/>
          <w:bCs/>
          <w:i/>
          <w:iCs/>
          <w:sz w:val="18"/>
          <w:szCs w:val="18"/>
        </w:rPr>
        <w:t>3.00</w:t>
      </w:r>
      <w:r w:rsidRPr="00C11C53">
        <w:rPr>
          <w:b/>
          <w:bCs/>
          <w:i/>
          <w:iCs/>
          <w:sz w:val="18"/>
          <w:szCs w:val="18"/>
        </w:rPr>
        <w:t xml:space="preserve"> I sesja </w:t>
      </w:r>
      <w:r w:rsidR="00507F54" w:rsidRPr="00C11C53">
        <w:rPr>
          <w:b/>
          <w:bCs/>
          <w:i/>
          <w:iCs/>
          <w:sz w:val="18"/>
          <w:szCs w:val="18"/>
        </w:rPr>
        <w:t>prowadz</w:t>
      </w:r>
      <w:r w:rsidR="00586150" w:rsidRPr="00C11C53">
        <w:rPr>
          <w:b/>
          <w:bCs/>
          <w:i/>
          <w:iCs/>
          <w:sz w:val="18"/>
          <w:szCs w:val="18"/>
        </w:rPr>
        <w:t>enie</w:t>
      </w:r>
      <w:r w:rsidR="00507F54" w:rsidRPr="00C11C53">
        <w:rPr>
          <w:b/>
          <w:bCs/>
          <w:i/>
          <w:iCs/>
          <w:sz w:val="18"/>
          <w:szCs w:val="18"/>
        </w:rPr>
        <w:t>: prof. dr hab. Bogumił Brzeziński</w:t>
      </w:r>
      <w:r w:rsidR="0080166E">
        <w:rPr>
          <w:b/>
          <w:bCs/>
          <w:i/>
          <w:iCs/>
          <w:sz w:val="18"/>
          <w:szCs w:val="18"/>
        </w:rPr>
        <w:t xml:space="preserve"> dr h.c.</w:t>
      </w:r>
    </w:p>
    <w:p w14:paraId="25583888" w14:textId="77777777" w:rsidR="00574D01" w:rsidRPr="00C11C53" w:rsidRDefault="00507F54" w:rsidP="00C11C53">
      <w:pPr>
        <w:pStyle w:val="Default"/>
        <w:jc w:val="both"/>
        <w:rPr>
          <w:sz w:val="18"/>
          <w:szCs w:val="18"/>
        </w:rPr>
      </w:pPr>
      <w:r w:rsidRPr="00C11C53">
        <w:rPr>
          <w:b/>
          <w:bCs/>
          <w:i/>
          <w:iCs/>
          <w:sz w:val="18"/>
          <w:szCs w:val="18"/>
        </w:rPr>
        <w:t>Podstawowe problemy prawa podatkowego</w:t>
      </w:r>
    </w:p>
    <w:p w14:paraId="447D7BCC" w14:textId="77777777" w:rsidR="004F3174" w:rsidRPr="00C11C53" w:rsidRDefault="00574D01" w:rsidP="00C11C53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i/>
          <w:iCs/>
          <w:sz w:val="18"/>
          <w:szCs w:val="18"/>
        </w:rPr>
        <w:t>wystąpienie otwierające</w:t>
      </w:r>
      <w:r w:rsidRPr="00C11C53">
        <w:rPr>
          <w:rFonts w:ascii="Bookman Old Style" w:hAnsi="Bookman Old Style"/>
          <w:i/>
          <w:iCs/>
          <w:sz w:val="18"/>
          <w:szCs w:val="18"/>
        </w:rPr>
        <w:t xml:space="preserve">: Prezes IF NSA </w:t>
      </w:r>
      <w:r w:rsidR="00507F54" w:rsidRPr="00C11C53">
        <w:rPr>
          <w:rFonts w:ascii="Bookman Old Style" w:hAnsi="Bookman Old Style"/>
          <w:i/>
          <w:iCs/>
          <w:sz w:val="18"/>
          <w:szCs w:val="18"/>
        </w:rPr>
        <w:t xml:space="preserve">sędzia NSA </w:t>
      </w:r>
      <w:r w:rsidRPr="00C11C53">
        <w:rPr>
          <w:rFonts w:ascii="Bookman Old Style" w:hAnsi="Bookman Old Style"/>
          <w:i/>
          <w:iCs/>
          <w:sz w:val="18"/>
          <w:szCs w:val="18"/>
        </w:rPr>
        <w:t xml:space="preserve">Jan Rudowski </w:t>
      </w:r>
      <w:r w:rsidRPr="00C11C53">
        <w:rPr>
          <w:rFonts w:ascii="Bookman Old Style" w:hAnsi="Bookman Old Style"/>
          <w:iCs/>
          <w:sz w:val="18"/>
          <w:szCs w:val="18"/>
        </w:rPr>
        <w:t xml:space="preserve">– </w:t>
      </w:r>
      <w:r w:rsidR="00507F54" w:rsidRPr="00C11C53">
        <w:rPr>
          <w:rFonts w:ascii="Bookman Old Style" w:hAnsi="Bookman Old Style"/>
          <w:iCs/>
          <w:sz w:val="18"/>
          <w:szCs w:val="18"/>
        </w:rPr>
        <w:t>Zasada</w:t>
      </w:r>
      <w:r w:rsidR="00507F54" w:rsidRPr="00C11C53">
        <w:rPr>
          <w:rFonts w:ascii="Bookman Old Style" w:hAnsi="Bookman Old Style"/>
          <w:i/>
          <w:iCs/>
          <w:sz w:val="18"/>
          <w:szCs w:val="18"/>
        </w:rPr>
        <w:t xml:space="preserve"> "in dubio pro </w:t>
      </w:r>
      <w:proofErr w:type="spellStart"/>
      <w:r w:rsidR="00507F54" w:rsidRPr="00C11C53">
        <w:rPr>
          <w:rFonts w:ascii="Bookman Old Style" w:hAnsi="Bookman Old Style"/>
          <w:i/>
          <w:iCs/>
          <w:sz w:val="18"/>
          <w:szCs w:val="18"/>
        </w:rPr>
        <w:t>tributario</w:t>
      </w:r>
      <w:proofErr w:type="spellEnd"/>
      <w:r w:rsidR="00507F54" w:rsidRPr="00C11C53">
        <w:rPr>
          <w:rFonts w:ascii="Bookman Old Style" w:hAnsi="Bookman Old Style"/>
          <w:i/>
          <w:iCs/>
          <w:sz w:val="18"/>
          <w:szCs w:val="18"/>
        </w:rPr>
        <w:t xml:space="preserve">" </w:t>
      </w:r>
      <w:r w:rsidR="00507F54" w:rsidRPr="00C11C53">
        <w:rPr>
          <w:rFonts w:ascii="Bookman Old Style" w:hAnsi="Bookman Old Style"/>
          <w:iCs/>
          <w:sz w:val="18"/>
          <w:szCs w:val="18"/>
        </w:rPr>
        <w:t>w orzeczeniach sądów administracyjnych - doświadczenia w stosowaniu</w:t>
      </w:r>
      <w:r w:rsidR="00507F54" w:rsidRPr="00C11C53">
        <w:rPr>
          <w:rFonts w:ascii="Bookman Old Style" w:hAnsi="Bookman Old Style"/>
          <w:color w:val="000000" w:themeColor="text1"/>
          <w:sz w:val="18"/>
          <w:szCs w:val="18"/>
        </w:rPr>
        <w:t> </w:t>
      </w:r>
    </w:p>
    <w:p w14:paraId="1D03090B" w14:textId="77777777" w:rsidR="00586150" w:rsidRPr="00C11C53" w:rsidRDefault="00586150" w:rsidP="00C11C53">
      <w:pPr>
        <w:pStyle w:val="Akapitzlist"/>
        <w:numPr>
          <w:ilvl w:val="0"/>
          <w:numId w:val="21"/>
        </w:numPr>
        <w:shd w:val="clear" w:color="auto" w:fill="FFFFFF"/>
        <w:spacing w:after="75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nadużycie prawa procesowego przez stronę (wyrok NSA z dnia 10 października 2018 r., I FSK 1701/16) – Tomasz Siennicki (KNDP)</w:t>
      </w:r>
    </w:p>
    <w:p w14:paraId="187EACDC" w14:textId="77777777" w:rsidR="002C6850" w:rsidRPr="00C11C53" w:rsidRDefault="002C6850" w:rsidP="00C11C5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uszczerbek majątkowy podatnika jako warunek zwrotu nadpłaty (wyrok NSA z dnia z 13 września 2018, I GSK 588/15) – Marek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Gizicki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(Deloitte)</w:t>
      </w:r>
    </w:p>
    <w:p w14:paraId="4EBA40CC" w14:textId="77777777" w:rsidR="002C6850" w:rsidRPr="00C11C53" w:rsidRDefault="002C6850" w:rsidP="00C11C5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Cs/>
          <w:color w:val="000000" w:themeColor="text1"/>
          <w:sz w:val="18"/>
          <w:szCs w:val="18"/>
        </w:rPr>
        <w:t>odpowiedzialność za skomplikowane i niejednoznaczne przepisy prawne (wyrok NSA z dnia 8 maja 2018 r., II FSK 2714/17) – Gerard Dźwigała (Dźwigała, Ratajczak i Wspólnicy)</w:t>
      </w:r>
    </w:p>
    <w:p w14:paraId="5A54B9E2" w14:textId="77777777" w:rsidR="008E1363" w:rsidRPr="00C11C53" w:rsidRDefault="008E1363" w:rsidP="00C11C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>granice cierpliwości sądów wobec niskiej jakości polskiego prawa podatkowego</w:t>
      </w:r>
      <w:r w:rsidR="00586150"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 - </w:t>
      </w: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elektrownie wiatrowe w podatku od nieruchomości  (wyrok </w:t>
      </w:r>
      <w:r w:rsidR="0031626F"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i postanowienie sygnalizacyjne </w:t>
      </w: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>NSA</w:t>
      </w:r>
      <w:r w:rsidR="0031626F"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 z dnia 22 października 2018 r., II FSK 2983/17</w:t>
      </w: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) </w:t>
      </w:r>
      <w:r w:rsidR="00586150"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- </w:t>
      </w: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>dr hab. W. Morawski, prof. UMK</w:t>
      </w:r>
    </w:p>
    <w:p w14:paraId="7F6C02E4" w14:textId="77777777" w:rsidR="00B307D0" w:rsidRPr="00C11C53" w:rsidRDefault="00F0378C" w:rsidP="00C11C53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przesłanki odpowiedzialności członka zarządu spółki jako osoby trzeciej (wyrok WSA we Wrocławiu z dnia 13 listopada 2018 r., I SA/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Wr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500/18) – Krzysztof Musiał (Musiał i Partnerzy)</w:t>
      </w:r>
    </w:p>
    <w:p w14:paraId="6DB7E554" w14:textId="77777777" w:rsidR="004E601D" w:rsidRPr="00C11C53" w:rsidRDefault="004E601D" w:rsidP="00C11C53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 xml:space="preserve">warunki wykorzystania podsłuchów rozmów przez organy podatkowe (postanowienie NSA z dnia 6 kwietnia 2018 r., I FSK 1860/17) – </w:t>
      </w:r>
      <w:r w:rsidR="00CA0A2D"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>d</w:t>
      </w:r>
      <w:r w:rsidRPr="00C11C53">
        <w:rPr>
          <w:rFonts w:ascii="Bookman Old Style" w:eastAsia="Times New Roman" w:hAnsi="Bookman Old Style"/>
          <w:color w:val="000000" w:themeColor="text1"/>
          <w:sz w:val="18"/>
          <w:szCs w:val="18"/>
          <w:lang w:eastAsia="pl-PL"/>
        </w:rPr>
        <w:t>r Joanna Zawiejska-Rataj (Deloitte)</w:t>
      </w:r>
    </w:p>
    <w:p w14:paraId="42E5B523" w14:textId="77777777" w:rsidR="002C6850" w:rsidRPr="00C11C53" w:rsidRDefault="000F0544" w:rsidP="00C11C53">
      <w:pPr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>
        <w:rPr>
          <w:rFonts w:ascii="Bookman Old Style" w:hAnsi="Bookman Old Style"/>
          <w:b/>
          <w:color w:val="000000" w:themeColor="text1"/>
          <w:sz w:val="18"/>
          <w:szCs w:val="18"/>
        </w:rPr>
        <w:t>d</w:t>
      </w:r>
      <w:r w:rsidR="000F02E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yskusja</w:t>
      </w:r>
    </w:p>
    <w:p w14:paraId="0162CFAB" w14:textId="77777777" w:rsidR="002C6850" w:rsidRPr="00C11C53" w:rsidRDefault="00A86C9A" w:rsidP="00C11C53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L</w:t>
      </w:r>
      <w:r w:rsidR="00E6100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unch 1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3.00</w:t>
      </w:r>
      <w:r w:rsidR="00E6100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-1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4.00</w:t>
      </w:r>
    </w:p>
    <w:p w14:paraId="46C57F54" w14:textId="77777777" w:rsidR="00CA0A2D" w:rsidRPr="00C11C53" w:rsidRDefault="00B307D0" w:rsidP="00C11C53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1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4.00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– 15.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30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</w:t>
      </w:r>
      <w:r w:rsidR="00A86C9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sesja 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II</w:t>
      </w:r>
      <w:r w:rsidR="00A86C9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;</w:t>
      </w:r>
      <w:r w:rsidR="00CA0A2D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prowadz</w:t>
      </w:r>
      <w:r w:rsidR="000F0544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enie</w:t>
      </w:r>
      <w:r w:rsidR="00CA0A2D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: dr hab. </w:t>
      </w:r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Paweł </w:t>
      </w:r>
      <w:proofErr w:type="spellStart"/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Borszowski</w:t>
      </w:r>
      <w:proofErr w:type="spellEnd"/>
      <w:r w:rsidR="00CA0A2D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, prof. </w:t>
      </w:r>
      <w:proofErr w:type="spellStart"/>
      <w:r w:rsidR="00CA0A2D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U</w:t>
      </w:r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Wr</w:t>
      </w:r>
      <w:proofErr w:type="spellEnd"/>
    </w:p>
    <w:p w14:paraId="21B299CD" w14:textId="77777777" w:rsidR="00CA0A2D" w:rsidRPr="00C11C53" w:rsidRDefault="00CA0A2D" w:rsidP="00C11C53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Duże problemy małych podatków</w:t>
      </w:r>
      <w:r w:rsidR="00A86C9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(zanim zajmiemy się 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dużymi problemami dużych podatków</w:t>
      </w:r>
      <w:r w:rsidR="00A86C9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)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</w:t>
      </w:r>
    </w:p>
    <w:p w14:paraId="5BC31C12" w14:textId="77777777" w:rsidR="00CA0A2D" w:rsidRPr="00C11C53" w:rsidRDefault="00CA0A2D" w:rsidP="00C11C5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opodatkowania podatkiem od nieruchomości części budowlanej elektrowni fotowoltaicznej (wyrok NSA z dnia 18 grudnia 2018 r., II FSK 1275/18) – sędzia NSA dr Krzysztof Winiarski</w:t>
      </w:r>
    </w:p>
    <w:p w14:paraId="6718CD22" w14:textId="77777777" w:rsidR="00CA0A2D" w:rsidRPr="00C11C53" w:rsidRDefault="00CA0A2D" w:rsidP="00C11C5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podstawa opodatkowania w podatku od nieruchomości a podmiot dokonujący amortyzacji (wyrok NSA z dnia 25 października 2018 r.,  II FSK 3554/17) - sędzia NSA dr Krzysztof Winiarski</w:t>
      </w:r>
    </w:p>
    <w:p w14:paraId="3D826F16" w14:textId="77777777" w:rsidR="00A86C9A" w:rsidRPr="00C11C53" w:rsidRDefault="00A86C9A" w:rsidP="00C11C53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podatek od czynności cywilnoprawnych a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goodwill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(wyrok NSA z dnia 14 listopada 2018 r., II FSK 3253/16) – Mirosław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Michna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(KPMG)</w:t>
      </w:r>
    </w:p>
    <w:p w14:paraId="4FEC81BF" w14:textId="77777777" w:rsidR="00CA0A2D" w:rsidRPr="00C11C53" w:rsidRDefault="00CA0A2D" w:rsidP="00C11C53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>budowle będące w posiadaniu spółki not for profit w podatku od nieruchomości (</w:t>
      </w:r>
      <w:r w:rsidR="00586150"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>w</w:t>
      </w:r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 xml:space="preserve">yrok NSA z dnia 15 lutego 2018 r., </w:t>
      </w: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II FSK 3239/15)</w:t>
      </w:r>
      <w:r w:rsidRPr="00C11C53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 xml:space="preserve"> - dr Adam Bartosiewicz (EOL)</w:t>
      </w:r>
    </w:p>
    <w:p w14:paraId="3F3A65A9" w14:textId="77777777" w:rsidR="00CA0A2D" w:rsidRPr="00C11C53" w:rsidRDefault="00CA0A2D" w:rsidP="00C11C5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</w:pPr>
      <w:r w:rsidRPr="00C11C53">
        <w:rPr>
          <w:rFonts w:ascii="Bookman Old Style" w:eastAsia="Times New Roman" w:hAnsi="Bookman Old Style" w:cs="Tahoma"/>
          <w:color w:val="000000" w:themeColor="text1"/>
          <w:sz w:val="18"/>
          <w:szCs w:val="18"/>
          <w:lang w:eastAsia="pl-PL"/>
        </w:rPr>
        <w:t xml:space="preserve">podmiotowość prawna wspólnot gruntowych (wyrok WSA w Rzeszowie z dnia 22 marca 2018 r., </w:t>
      </w:r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>I SA/</w:t>
      </w:r>
      <w:proofErr w:type="spellStart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>Rz</w:t>
      </w:r>
      <w:proofErr w:type="spellEnd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 xml:space="preserve"> 79/18) – </w:t>
      </w:r>
      <w:proofErr w:type="spellStart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>dr</w:t>
      </w:r>
      <w:proofErr w:type="spellEnd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>Paweł</w:t>
      </w:r>
      <w:proofErr w:type="spellEnd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>Majka</w:t>
      </w:r>
      <w:proofErr w:type="spellEnd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val="en-US" w:eastAsia="pl-PL"/>
        </w:rPr>
        <w:t xml:space="preserve"> (UR)</w:t>
      </w:r>
    </w:p>
    <w:p w14:paraId="3E5AE61A" w14:textId="77777777" w:rsidR="0080771B" w:rsidRPr="00C11C53" w:rsidRDefault="0080771B" w:rsidP="00C11C53">
      <w:pPr>
        <w:shd w:val="clear" w:color="auto" w:fill="FFFFFF"/>
        <w:spacing w:after="75" w:line="24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b/>
          <w:color w:val="000000" w:themeColor="text1"/>
          <w:sz w:val="18"/>
          <w:szCs w:val="18"/>
          <w:lang w:eastAsia="pl-PL"/>
        </w:rPr>
        <w:t>dyskusja</w:t>
      </w:r>
    </w:p>
    <w:p w14:paraId="403A47E4" w14:textId="77777777" w:rsidR="00CA0A2D" w:rsidRPr="00C11C53" w:rsidRDefault="0080771B" w:rsidP="00C11C53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15.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30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-15.</w:t>
      </w:r>
      <w:r w:rsidR="001722F3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45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Przerwa na kawę</w:t>
      </w:r>
    </w:p>
    <w:p w14:paraId="61535810" w14:textId="77777777" w:rsidR="005A5981" w:rsidRDefault="00CA0A2D" w:rsidP="00C11C53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15.</w:t>
      </w:r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45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– </w:t>
      </w:r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…</w:t>
      </w:r>
      <w:r w:rsidR="001E5CEA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</w:t>
      </w:r>
      <w:r w:rsidR="00181EC4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III sesja, prowadz</w:t>
      </w:r>
      <w:r w:rsidR="000F0544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enie</w:t>
      </w:r>
      <w:r w:rsidR="00181EC4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: </w:t>
      </w:r>
      <w:r w:rsidR="001E5CEA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dr hab. </w:t>
      </w:r>
      <w:r w:rsidR="00F6448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Wojciech Morawski </w:t>
      </w:r>
      <w:r w:rsidR="001E5CEA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prof. UMK</w:t>
      </w:r>
    </w:p>
    <w:p w14:paraId="5566376D" w14:textId="77777777" w:rsidR="00F6448F" w:rsidRPr="00C11C53" w:rsidRDefault="00AB529A" w:rsidP="00C11C53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N</w:t>
      </w:r>
      <w:r w:rsidR="00B307D0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adużyci</w:t>
      </w:r>
      <w:r w:rsidR="00FE0CC0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a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czy</w:t>
      </w:r>
      <w:r w:rsidR="00181EC4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 xml:space="preserve"> </w:t>
      </w:r>
      <w:r w:rsidR="00FE0CC0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„nienadużycia”</w:t>
      </w: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?</w:t>
      </w:r>
      <w:r w:rsidR="00F6448F"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/</w:t>
      </w:r>
      <w:r w:rsidR="00F6448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„Żeby było lepiej…” – zmiany przed sądami administracyjnymi </w:t>
      </w:r>
    </w:p>
    <w:p w14:paraId="4D6933BA" w14:textId="77777777" w:rsidR="004E601D" w:rsidRPr="00C11C53" w:rsidRDefault="0031626F" w:rsidP="00C11C53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a</w:t>
      </w:r>
      <w:r w:rsidR="004E601D" w:rsidRPr="00C11C53">
        <w:rPr>
          <w:rFonts w:ascii="Bookman Old Style" w:hAnsi="Bookman Old Style" w:cs="Arial"/>
          <w:color w:val="000000" w:themeColor="text1"/>
          <w:sz w:val="18"/>
          <w:szCs w:val="18"/>
        </w:rPr>
        <w:t>spekty proceduralne wydawania inte</w:t>
      </w:r>
      <w:r w:rsidR="005E6012" w:rsidRPr="00C11C53">
        <w:rPr>
          <w:rFonts w:ascii="Bookman Old Style" w:hAnsi="Bookman Old Style" w:cs="Arial"/>
          <w:color w:val="000000" w:themeColor="text1"/>
          <w:sz w:val="18"/>
          <w:szCs w:val="18"/>
        </w:rPr>
        <w:t>r</w:t>
      </w:r>
      <w:r w:rsidR="004E601D" w:rsidRPr="00C11C53">
        <w:rPr>
          <w:rFonts w:ascii="Bookman Old Style" w:hAnsi="Bookman Old Style" w:cs="Arial"/>
          <w:color w:val="000000" w:themeColor="text1"/>
          <w:sz w:val="18"/>
          <w:szCs w:val="18"/>
        </w:rPr>
        <w:t>pretacji indywidualnej w kontekście GA</w:t>
      </w:r>
      <w:r w:rsidR="005E6012" w:rsidRPr="00C11C53">
        <w:rPr>
          <w:rFonts w:ascii="Bookman Old Style" w:hAnsi="Bookman Old Style" w:cs="Arial"/>
          <w:color w:val="000000" w:themeColor="text1"/>
          <w:sz w:val="18"/>
          <w:szCs w:val="18"/>
        </w:rPr>
        <w:t>A</w:t>
      </w:r>
      <w:r w:rsidR="004E601D" w:rsidRPr="00C11C53">
        <w:rPr>
          <w:rFonts w:ascii="Bookman Old Style" w:hAnsi="Bookman Old Style" w:cs="Arial"/>
          <w:color w:val="000000" w:themeColor="text1"/>
          <w:sz w:val="18"/>
          <w:szCs w:val="18"/>
        </w:rPr>
        <w:t>R (wyrok</w:t>
      </w:r>
      <w:r w:rsidR="005E6012"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NSA z dnia 27 września 2018 r., II FSK 290/18)</w:t>
      </w:r>
      <w:r w:rsidR="005F6685"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– dr Joanna Zawiejska-Rataj (Deloitte)</w:t>
      </w:r>
    </w:p>
    <w:p w14:paraId="57F24C52" w14:textId="77777777" w:rsidR="00507F54" w:rsidRPr="00C11C53" w:rsidRDefault="00507F54" w:rsidP="00C11C53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art. 15 ust. 1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u.p.d.o.p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. jako quasi klauzula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antyabuzywna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? (wyrok NSA z dnia 4 grudnia 2018 r., II FSK 2735/16) – Marek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Gizicki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(Deloitte)</w:t>
      </w:r>
    </w:p>
    <w:p w14:paraId="0566D942" w14:textId="77777777" w:rsidR="00AB529A" w:rsidRPr="00C11C53" w:rsidRDefault="00AB529A" w:rsidP="00C11C53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działania przynoszące straty a koszt uzyskania przychodu (wyrok WSA w Gliwicach z 5 września 2018 r., I SA/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Gl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706/18; wyrok nieprawomocny) – Izabela Rymanowska (EY)</w:t>
      </w:r>
    </w:p>
    <w:p w14:paraId="55A968EE" w14:textId="77777777" w:rsidR="00586150" w:rsidRPr="00C11C53" w:rsidRDefault="00586150" w:rsidP="00C11C53">
      <w:pPr>
        <w:pStyle w:val="Akapitzlist"/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  <w:t>problemy proceduralne stosowania STIR</w:t>
      </w:r>
      <w:r w:rsidRPr="00C11C53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>  (wyrok WSA w Warszawie z dnia 20 września 2018 r.</w:t>
      </w:r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  <w:t>, III SA/</w:t>
      </w:r>
      <w:proofErr w:type="spellStart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  <w:t>Wa</w:t>
      </w:r>
      <w:proofErr w:type="spellEnd"/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  <w:t xml:space="preserve"> 2057/18) – dr Paweł Majka (UR) </w:t>
      </w:r>
    </w:p>
    <w:p w14:paraId="5F2B55E4" w14:textId="77777777" w:rsidR="00CA0A2D" w:rsidRPr="00C11C53" w:rsidRDefault="00CA0A2D" w:rsidP="00C11C5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ograniczenia dotyczące  finansowania dłużnego (wyrok WSA we Wrocławiu z dnia 13 listopada 2018 r., I SA/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Wr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833/18) - dr Michał Bernat (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Dentons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)</w:t>
      </w:r>
    </w:p>
    <w:p w14:paraId="1C8AE718" w14:textId="77777777" w:rsidR="00CA0A2D" w:rsidRPr="00C11C53" w:rsidRDefault="00CA0A2D" w:rsidP="00C11C5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umowy pośrednictwa a art. 15e ust. 1 pkt 1.u.p.d.o.p. (wyrok WSA w Krakowie z dnia 14 listopada 2018 r., </w:t>
      </w:r>
      <w:bookmarkStart w:id="0" w:name="m_4930147008076961751__Toc536199606"/>
      <w:r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I SA/Kr 1006/18</w:t>
      </w:r>
      <w:bookmarkEnd w:id="0"/>
      <w:r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; wyrok nieprawomocny) – dr Jowita </w:t>
      </w:r>
      <w:proofErr w:type="spellStart"/>
      <w:r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Pustuł</w:t>
      </w:r>
      <w:proofErr w:type="spellEnd"/>
      <w:r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(UJ)</w:t>
      </w:r>
    </w:p>
    <w:p w14:paraId="17D04057" w14:textId="77777777" w:rsidR="001722F3" w:rsidRPr="00075899" w:rsidRDefault="00181EC4" w:rsidP="00075899">
      <w:pPr>
        <w:pStyle w:val="Nagwek1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usługi świadczone na rzecz transparentnych podatkowo podmiotów powiązanych a art. 15e (wyrok WSA we Wrocławiu z dnia 24 października 2018 r. </w:t>
      </w:r>
      <w:r w:rsidR="001E5CEA" w:rsidRPr="00C11C53">
        <w:rPr>
          <w:rFonts w:ascii="Bookman Old Style" w:hAnsi="Bookman Old Style" w:cs="Arial"/>
          <w:color w:val="000000" w:themeColor="text1"/>
          <w:sz w:val="18"/>
          <w:szCs w:val="18"/>
        </w:rPr>
        <w:t>I SA/</w:t>
      </w:r>
      <w:proofErr w:type="spellStart"/>
      <w:r w:rsidR="001E5CEA" w:rsidRPr="00C11C53">
        <w:rPr>
          <w:rFonts w:ascii="Bookman Old Style" w:hAnsi="Bookman Old Style" w:cs="Arial"/>
          <w:color w:val="000000" w:themeColor="text1"/>
          <w:sz w:val="18"/>
          <w:szCs w:val="18"/>
        </w:rPr>
        <w:t>Wr</w:t>
      </w:r>
      <w:proofErr w:type="spellEnd"/>
      <w:r w:rsidR="001E5CEA"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761/18</w:t>
      </w: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, wyrok nieprawomocny) – Lesław Mazur (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Thedy&amp;Partners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)</w:t>
      </w:r>
      <w:r w:rsid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</w:t>
      </w:r>
      <w:r w:rsidR="007376FC" w:rsidRPr="00075899">
        <w:rPr>
          <w:rFonts w:ascii="Bookman Old Style" w:hAnsi="Bookman Old Style"/>
          <w:color w:val="000000" w:themeColor="text1"/>
          <w:sz w:val="18"/>
          <w:szCs w:val="18"/>
        </w:rPr>
        <w:t>…</w:t>
      </w:r>
      <w:r w:rsidR="007376FC" w:rsidRPr="00A65D9E">
        <w:rPr>
          <w:rFonts w:ascii="Bookman Old Style" w:hAnsi="Bookman Old Style"/>
          <w:color w:val="000000" w:themeColor="text1"/>
          <w:sz w:val="18"/>
          <w:szCs w:val="18"/>
        </w:rPr>
        <w:t>etc.</w:t>
      </w:r>
    </w:p>
    <w:p w14:paraId="247061D1" w14:textId="77777777" w:rsidR="00C81CE6" w:rsidRDefault="00F6448F" w:rsidP="00C11C53">
      <w:pPr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Dyskusja:</w:t>
      </w:r>
    </w:p>
    <w:p w14:paraId="76EC43CA" w14:textId="5D586D92" w:rsidR="001E5CEA" w:rsidRPr="00C11C53" w:rsidRDefault="007376FC" w:rsidP="00C11C53">
      <w:pPr>
        <w:jc w:val="both"/>
        <w:rPr>
          <w:rFonts w:ascii="Bookman Old Style" w:hAnsi="Bookman Old Style"/>
          <w:sz w:val="18"/>
          <w:szCs w:val="18"/>
        </w:rPr>
      </w:pP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C</w:t>
      </w:r>
      <w:r w:rsidR="001722F3"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zy</w:t>
      </w: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 xml:space="preserve"> wartom </w:t>
      </w:r>
      <w:r w:rsidR="001722F3"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coś zmienić</w:t>
      </w:r>
      <w:r w:rsidR="005A5981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 xml:space="preserve"> w zmianach</w:t>
      </w: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?</w:t>
      </w:r>
      <w:r w:rsidR="001722F3"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1722F3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– wprowadzenie do dyskusji: </w:t>
      </w:r>
      <w:r w:rsidR="00B3794F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dr </w:t>
      </w:r>
      <w:r w:rsidR="005A5981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Błażej </w:t>
      </w:r>
      <w:proofErr w:type="spellStart"/>
      <w:r w:rsidR="005A5981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Kuźniacki</w:t>
      </w:r>
      <w:proofErr w:type="spellEnd"/>
      <w:r w:rsidR="005A5981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="001722F3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(</w:t>
      </w:r>
      <w:r w:rsidR="00B3794F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Zastępca Dyrektora Departamentu Podatków Dochodowych </w:t>
      </w:r>
      <w:r w:rsidR="001722F3" w:rsidRPr="00B3794F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MF)</w:t>
      </w:r>
    </w:p>
    <w:p w14:paraId="60F19850" w14:textId="77777777" w:rsidR="00A86C9A" w:rsidRPr="00A86C9A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2F6D1FB0" w14:textId="77777777" w:rsidR="00A86C9A" w:rsidRPr="00C11C53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lastRenderedPageBreak/>
        <w:t xml:space="preserve"> </w:t>
      </w: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20:30 uroczysta kolacja – Dwór Artusa Rynek Staromiejski 6 </w:t>
      </w:r>
    </w:p>
    <w:p w14:paraId="086568A0" w14:textId="77777777" w:rsidR="00A86C9A" w:rsidRPr="00C11C53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</w:p>
    <w:p w14:paraId="356B72C1" w14:textId="77777777" w:rsidR="00A86C9A" w:rsidRPr="00C11C53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W czasie kolacji:</w:t>
      </w:r>
    </w:p>
    <w:p w14:paraId="761E2B87" w14:textId="77777777" w:rsidR="008D421F" w:rsidRPr="00C11C53" w:rsidRDefault="008D421F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- w</w:t>
      </w:r>
      <w:r w:rsidR="00A86C9A"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ręczenie nagród w konkursie na najlepszą pracę magisterską z zakresu problematyki podatkowej </w:t>
      </w:r>
      <w:r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- </w:t>
      </w:r>
      <w:proofErr w:type="spellStart"/>
      <w:r w:rsidR="00A86C9A" w:rsidRPr="00C11C53">
        <w:rPr>
          <w:rFonts w:ascii="Bookman Old Style" w:hAnsi="Bookman Old Style"/>
          <w:b/>
          <w:sz w:val="18"/>
          <w:szCs w:val="18"/>
        </w:rPr>
        <w:t>Tax</w:t>
      </w:r>
      <w:proofErr w:type="spellEnd"/>
      <w:r w:rsidR="00A86C9A" w:rsidRPr="00C11C53">
        <w:rPr>
          <w:rFonts w:ascii="Bookman Old Style" w:hAnsi="Bookman Old Style"/>
          <w:b/>
          <w:sz w:val="18"/>
          <w:szCs w:val="18"/>
        </w:rPr>
        <w:t xml:space="preserve"> Everest</w:t>
      </w:r>
    </w:p>
    <w:p w14:paraId="7E78DCF0" w14:textId="77777777" w:rsidR="00A86C9A" w:rsidRPr="00C11C53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 w:rsidRPr="00C11C53">
        <w:rPr>
          <w:rFonts w:ascii="Bookman Old Style" w:hAnsi="Bookman Old Style"/>
          <w:b/>
          <w:sz w:val="18"/>
          <w:szCs w:val="18"/>
        </w:rPr>
        <w:t>organiz</w:t>
      </w:r>
      <w:r w:rsidR="008D421F" w:rsidRPr="00C11C53">
        <w:rPr>
          <w:rFonts w:ascii="Bookman Old Style" w:hAnsi="Bookman Old Style"/>
          <w:b/>
          <w:sz w:val="18"/>
          <w:szCs w:val="18"/>
        </w:rPr>
        <w:t>atorzy:</w:t>
      </w:r>
      <w:r w:rsidRPr="00C11C53">
        <w:rPr>
          <w:rFonts w:ascii="Bookman Old Style" w:hAnsi="Bookman Old Style"/>
          <w:b/>
          <w:sz w:val="18"/>
          <w:szCs w:val="18"/>
        </w:rPr>
        <w:t xml:space="preserve">  MDDP </w:t>
      </w:r>
      <w:r w:rsidR="008D421F" w:rsidRPr="00C11C53">
        <w:rPr>
          <w:rFonts w:ascii="Bookman Old Style" w:hAnsi="Bookman Old Style"/>
          <w:b/>
          <w:sz w:val="18"/>
          <w:szCs w:val="18"/>
        </w:rPr>
        <w:t>oraz</w:t>
      </w:r>
      <w:r w:rsidRPr="00C11C53">
        <w:rPr>
          <w:rFonts w:ascii="Bookman Old Style" w:hAnsi="Bookman Old Style"/>
          <w:b/>
          <w:sz w:val="18"/>
          <w:szCs w:val="18"/>
        </w:rPr>
        <w:t xml:space="preserve"> OSF</w:t>
      </w:r>
      <w:r w:rsidR="008D421F" w:rsidRPr="00C11C53">
        <w:rPr>
          <w:rFonts w:ascii="Bookman Old Style" w:hAnsi="Bookman Old Style"/>
          <w:b/>
          <w:sz w:val="18"/>
          <w:szCs w:val="18"/>
        </w:rPr>
        <w:t xml:space="preserve"> UMK - </w:t>
      </w:r>
      <w:hyperlink r:id="rId10" w:history="1">
        <w:r w:rsidR="008D421F" w:rsidRPr="00C11C53">
          <w:rPr>
            <w:rStyle w:val="Hipercze"/>
            <w:rFonts w:ascii="Bookman Old Style" w:hAnsi="Bookman Old Style" w:cs="Bookman Old Style"/>
            <w:b/>
            <w:bCs/>
            <w:i/>
            <w:iCs/>
            <w:sz w:val="18"/>
            <w:szCs w:val="18"/>
          </w:rPr>
          <w:t>http://www.taxeverest.pl/</w:t>
        </w:r>
      </w:hyperlink>
    </w:p>
    <w:p w14:paraId="7DC0EFF9" w14:textId="77777777" w:rsidR="00A86C9A" w:rsidRPr="00C11C53" w:rsidRDefault="008D421F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</w:pPr>
      <w:r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- k</w:t>
      </w:r>
      <w:r w:rsidR="00A86C9A"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oncert „podatkowy”</w:t>
      </w:r>
    </w:p>
    <w:p w14:paraId="6DC32F58" w14:textId="77777777" w:rsidR="008D421F" w:rsidRPr="00C11C53" w:rsidRDefault="008D421F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73FC47F7" w14:textId="77777777" w:rsidR="00A86C9A" w:rsidRPr="00A86C9A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sobota 2 marca 2017 r. </w:t>
      </w:r>
    </w:p>
    <w:p w14:paraId="3061B875" w14:textId="77777777" w:rsidR="00A86C9A" w:rsidRPr="00A86C9A" w:rsidRDefault="008D421F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08:00</w:t>
      </w:r>
      <w:r w:rsidRPr="00C11C53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-</w:t>
      </w: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9.15 </w:t>
      </w:r>
      <w:r w:rsidR="00A86C9A"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śniadanie podatkowe w restauracjach na Starym Mieście </w:t>
      </w:r>
    </w:p>
    <w:p w14:paraId="2FEE1F5F" w14:textId="77777777" w:rsidR="00A86C9A" w:rsidRPr="00A86C9A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więcej informacji patrz: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https://www.law.umk.pl/osf/konferencje/torunski-przeglad-orzecznictwa-podatkowego/2019-2/ (plik: 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sniadania_hotele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) </w:t>
      </w:r>
    </w:p>
    <w:p w14:paraId="5D364232" w14:textId="77777777" w:rsidR="00A86C9A" w:rsidRPr="00A86C9A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A.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„Prawem i lewem” – przedawnienie zobowiązania podatkowego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a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postępowanie karne skarbowe i inne dziwne przypadki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–</w:t>
      </w:r>
      <w:r w:rsidR="008D421F" w:rsidRPr="00C11C53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Hotel 1231, moderatorzy: A. 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Ladziński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(GWW) i A</w:t>
      </w:r>
      <w:r w:rsidR="008D421F" w:rsidRPr="00C11C53">
        <w:rPr>
          <w:rFonts w:ascii="Bookman Old Style" w:hAnsi="Bookman Old Style" w:cs="Bookman Old Style"/>
          <w:color w:val="000000"/>
          <w:sz w:val="18"/>
          <w:szCs w:val="18"/>
        </w:rPr>
        <w:t>.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Sarna (MDDP); </w:t>
      </w:r>
    </w:p>
    <w:p w14:paraId="05966B55" w14:textId="77777777" w:rsidR="00A86C9A" w:rsidRPr="00A86C9A" w:rsidRDefault="00A86C9A" w:rsidP="00C11C53">
      <w:pPr>
        <w:autoSpaceDE w:val="0"/>
        <w:autoSpaceDN w:val="0"/>
        <w:adjustRightInd w:val="0"/>
        <w:spacing w:after="24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B.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Skrzypek na dachu a budynku nie ma – wielkie problemy małego podatku od nieruchomości i małe problemy z nieruchomościami dużego podatku dochodowego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; Hotel 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Petite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Fleur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; moderatorzy: dr hab. W</w:t>
      </w:r>
      <w:r w:rsidR="008D421F" w:rsidRPr="00C11C53">
        <w:rPr>
          <w:rFonts w:ascii="Bookman Old Style" w:hAnsi="Bookman Old Style" w:cs="Bookman Old Style"/>
          <w:color w:val="000000"/>
          <w:sz w:val="18"/>
          <w:szCs w:val="18"/>
        </w:rPr>
        <w:t>ojciech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Morawski prof. UMK i P</w:t>
      </w:r>
      <w:r w:rsidR="008D421F" w:rsidRPr="00C11C53">
        <w:rPr>
          <w:rFonts w:ascii="Bookman Old Style" w:hAnsi="Bookman Old Style" w:cs="Bookman Old Style"/>
          <w:color w:val="000000"/>
          <w:sz w:val="18"/>
          <w:szCs w:val="18"/>
        </w:rPr>
        <w:t xml:space="preserve">aweł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Banasik (Deloitte); </w:t>
      </w:r>
    </w:p>
    <w:p w14:paraId="76A05652" w14:textId="77777777" w:rsidR="00A86C9A" w:rsidRPr="00A86C9A" w:rsidRDefault="00A86C9A" w:rsidP="00C11C53">
      <w:pPr>
        <w:autoSpaceDE w:val="0"/>
        <w:autoSpaceDN w:val="0"/>
        <w:adjustRightInd w:val="0"/>
        <w:spacing w:after="24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C. </w:t>
      </w:r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In dubio pro </w:t>
      </w:r>
      <w:proofErr w:type="spellStart"/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>tributario</w:t>
      </w:r>
      <w:proofErr w:type="spellEnd"/>
      <w:r w:rsidRPr="00A86C9A">
        <w:rPr>
          <w:rFonts w:ascii="Bookman Old Style" w:hAnsi="Bookman Old Style" w:cs="Bookman Old Style"/>
          <w:b/>
          <w:bCs/>
          <w:i/>
          <w:iCs/>
          <w:color w:val="000000"/>
          <w:sz w:val="18"/>
          <w:szCs w:val="18"/>
        </w:rPr>
        <w:t xml:space="preserve">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(art. 2a </w:t>
      </w:r>
      <w:proofErr w:type="spellStart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o.p</w:t>
      </w:r>
      <w:proofErr w:type="spellEnd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.) – czy było warto?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Hotel Spichrz, moderatorzy: prof. dr hab. B</w:t>
      </w:r>
      <w:r w:rsidR="008D421F" w:rsidRPr="00C11C53">
        <w:rPr>
          <w:rFonts w:ascii="Bookman Old Style" w:hAnsi="Bookman Old Style" w:cs="Bookman Old Style"/>
          <w:color w:val="000000"/>
          <w:sz w:val="18"/>
          <w:szCs w:val="18"/>
        </w:rPr>
        <w:t xml:space="preserve">ogumił 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Brzeziński (UMK, UJ) i Agnieszka Tałasiewicz (EY); </w:t>
      </w:r>
    </w:p>
    <w:p w14:paraId="001C7BB5" w14:textId="77777777" w:rsidR="00A86C9A" w:rsidRPr="00A86C9A" w:rsidRDefault="00A86C9A" w:rsidP="00C11C53">
      <w:pPr>
        <w:autoSpaceDE w:val="0"/>
        <w:autoSpaceDN w:val="0"/>
        <w:adjustRightInd w:val="0"/>
        <w:spacing w:after="24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D.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W poszukiwaniu Świętego </w:t>
      </w:r>
      <w:proofErr w:type="spellStart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Graala</w:t>
      </w:r>
      <w:proofErr w:type="spellEnd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 pogromcy unikania opodatkowania - ceny transferowe, GAAR, 199a </w:t>
      </w:r>
      <w:proofErr w:type="spellStart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o.p</w:t>
      </w:r>
      <w:proofErr w:type="spellEnd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., 15 </w:t>
      </w:r>
      <w:proofErr w:type="spellStart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u.p.d.o.p</w:t>
      </w:r>
      <w:proofErr w:type="spellEnd"/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. etc.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; Hotel Gotyk, moderatorzy: dr hab. Krzysztof Lasiński-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Sulecki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prof. UMK i Michał Goj (EY); </w:t>
      </w:r>
    </w:p>
    <w:p w14:paraId="5FC2823A" w14:textId="77777777" w:rsidR="00A86C9A" w:rsidRPr="00A86C9A" w:rsidRDefault="00A86C9A" w:rsidP="00C11C5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E. </w:t>
      </w:r>
      <w:r w:rsidRPr="00A86C9A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„Gdzie drwa robią, tam wióry lecą” – o karuzelach VAT dla niewinnych</w:t>
      </w:r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, Hotel Nicolaus; moderatorzy: sędzia NSA Adam </w:t>
      </w:r>
      <w:proofErr w:type="spellStart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>Bącal</w:t>
      </w:r>
      <w:proofErr w:type="spellEnd"/>
      <w:r w:rsidRPr="00A86C9A">
        <w:rPr>
          <w:rFonts w:ascii="Bookman Old Style" w:hAnsi="Bookman Old Style" w:cs="Bookman Old Style"/>
          <w:color w:val="000000"/>
          <w:sz w:val="18"/>
          <w:szCs w:val="18"/>
        </w:rPr>
        <w:t xml:space="preserve"> i  Tomasz Michalik (MDDP); </w:t>
      </w:r>
    </w:p>
    <w:p w14:paraId="440AE31B" w14:textId="77777777" w:rsidR="00A86C9A" w:rsidRPr="00C11C53" w:rsidRDefault="00A86C9A" w:rsidP="00C11C53">
      <w:pPr>
        <w:shd w:val="clear" w:color="auto" w:fill="FFFFFF"/>
        <w:jc w:val="both"/>
        <w:rPr>
          <w:rFonts w:ascii="Bookman Old Style" w:hAnsi="Bookman Old Style" w:cs="Bookman Old Style"/>
          <w:iCs/>
          <w:color w:val="000000"/>
          <w:sz w:val="18"/>
          <w:szCs w:val="18"/>
        </w:rPr>
      </w:pPr>
      <w:r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>10.</w:t>
      </w:r>
      <w:r w:rsidR="008D421F"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 xml:space="preserve">00 - </w:t>
      </w:r>
      <w:r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>prz</w:t>
      </w:r>
      <w:r w:rsidR="008D421F"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>y</w:t>
      </w:r>
      <w:r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>jazd na Wydział Prawa i Administracji (</w:t>
      </w:r>
      <w:r w:rsidR="008D421F"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 xml:space="preserve">transport </w:t>
      </w:r>
      <w:r w:rsidRPr="00C11C53">
        <w:rPr>
          <w:rFonts w:ascii="Bookman Old Style" w:hAnsi="Bookman Old Style" w:cs="Bookman Old Style"/>
          <w:iCs/>
          <w:color w:val="000000"/>
          <w:sz w:val="18"/>
          <w:szCs w:val="18"/>
        </w:rPr>
        <w:t xml:space="preserve">zapewniają organizatorzy) </w:t>
      </w:r>
    </w:p>
    <w:p w14:paraId="70B76A95" w14:textId="77777777" w:rsidR="00181EC4" w:rsidRPr="00C11C53" w:rsidRDefault="00181EC4" w:rsidP="00C11C53">
      <w:pPr>
        <w:shd w:val="clear" w:color="auto" w:fill="FFFFFF"/>
        <w:jc w:val="both"/>
        <w:rPr>
          <w:rFonts w:ascii="Bookman Old Style" w:hAnsi="Bookman Old Style" w:cs="Arial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10.</w:t>
      </w:r>
      <w:r w:rsidR="00F6448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15</w:t>
      </w:r>
      <w:r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-</w:t>
      </w:r>
      <w:r w:rsidR="009D176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1</w:t>
      </w:r>
      <w:r w:rsidR="00F6448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1.</w:t>
      </w:r>
      <w:r w:rsidR="00A37ABB">
        <w:rPr>
          <w:rFonts w:ascii="Bookman Old Style" w:hAnsi="Bookman Old Style" w:cs="Arial"/>
          <w:b/>
          <w:color w:val="000000" w:themeColor="text1"/>
          <w:sz w:val="18"/>
          <w:szCs w:val="18"/>
        </w:rPr>
        <w:t>30</w:t>
      </w:r>
      <w:r w:rsidR="009D176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 xml:space="preserve"> </w:t>
      </w:r>
      <w:r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Sesja V. prowadzenie: dr hab. Agnieszka Olesińska, prof. UMK</w:t>
      </w:r>
    </w:p>
    <w:p w14:paraId="4780C5EC" w14:textId="77777777" w:rsidR="00181EC4" w:rsidRPr="00C11C53" w:rsidRDefault="00181EC4" w:rsidP="00C11C53">
      <w:pPr>
        <w:shd w:val="clear" w:color="auto" w:fill="FFFFFF"/>
        <w:jc w:val="both"/>
        <w:rPr>
          <w:rFonts w:ascii="Bookman Old Style" w:hAnsi="Bookman Old Style" w:cs="Arial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Podatki dochodowe</w:t>
      </w:r>
      <w:r w:rsidR="009D176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 xml:space="preserve"> </w:t>
      </w:r>
      <w:r w:rsidR="00F6448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 xml:space="preserve">- </w:t>
      </w:r>
      <w:r w:rsidR="009D176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przych</w:t>
      </w:r>
      <w:r w:rsidR="00AB529A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ody</w:t>
      </w:r>
      <w:r w:rsidR="009D176F"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, zwolnienia, wyłączenia…</w:t>
      </w:r>
    </w:p>
    <w:p w14:paraId="3235C8E0" w14:textId="77777777" w:rsidR="0031626F" w:rsidRPr="00C11C53" w:rsidRDefault="0031626F" w:rsidP="00C11C53">
      <w:pPr>
        <w:pStyle w:val="Akapitzlist"/>
        <w:numPr>
          <w:ilvl w:val="0"/>
          <w:numId w:val="15"/>
        </w:numPr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częściowy zwrot wkładu do spółki niebędącej osobą prawną (wyrok NSA z dnia 20 września 2018 r., II FSK 2396/16) – dr hab. Paweł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Borszowski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prof.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UWr</w:t>
      </w:r>
      <w:proofErr w:type="spellEnd"/>
    </w:p>
    <w:p w14:paraId="5468008E" w14:textId="5DD140C7" w:rsidR="002C6850" w:rsidRPr="000222B2" w:rsidRDefault="000222B2" w:rsidP="00C11C5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</w:pPr>
      <w:r w:rsidRPr="000222B2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 xml:space="preserve">zamiana </w:t>
      </w:r>
      <w:proofErr w:type="spellStart"/>
      <w:r w:rsidRPr="000222B2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>bitcoina</w:t>
      </w:r>
      <w:proofErr w:type="spellEnd"/>
      <w:r w:rsidRPr="000222B2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 xml:space="preserve"> na inną </w:t>
      </w:r>
      <w:proofErr w:type="spellStart"/>
      <w:r w:rsidRPr="000222B2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>kryptowalutę</w:t>
      </w:r>
      <w:proofErr w:type="spellEnd"/>
      <w:r w:rsidRPr="000222B2">
        <w:rPr>
          <w:rFonts w:ascii="Bookman Old Style" w:hAnsi="Bookman Old Style" w:cs="Arial"/>
          <w:color w:val="222222"/>
          <w:sz w:val="18"/>
          <w:szCs w:val="18"/>
          <w:shd w:val="clear" w:color="auto" w:fill="FFFFFF"/>
        </w:rPr>
        <w:t xml:space="preserve"> a powstanie przychodu </w:t>
      </w:r>
      <w:r w:rsidR="002C6850" w:rsidRPr="000222B2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>(w</w:t>
      </w:r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yroki WSA w Olsztynie z dnia 9 maja 2018 r., I SA/Ol 201/18 i I SA/Ol 202/18; </w:t>
      </w:r>
      <w:r w:rsidR="0080166E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wyrok</w:t>
      </w:r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nieprawomocn</w:t>
      </w:r>
      <w:r w:rsidR="0080166E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y</w:t>
      </w:r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 – Michał Potyrała</w:t>
      </w:r>
      <w:r w:rsidR="00E81E2E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/Mariusz Marecki</w:t>
      </w:r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PwC</w:t>
      </w:r>
      <w:proofErr w:type="spellEnd"/>
      <w:r w:rsidR="002C6850" w:rsidRPr="000222B2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</w:t>
      </w:r>
    </w:p>
    <w:p w14:paraId="34EA36DB" w14:textId="77777777" w:rsidR="005F6685" w:rsidRPr="00C11C53" w:rsidRDefault="005F6685" w:rsidP="00C11C53">
      <w:pPr>
        <w:pStyle w:val="Akapitzlist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udostępnianie pracownikom noclegów a przychód z nieodpłatnych świadczeń (w</w:t>
      </w:r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yrok NSA z dnia 29 listopada 2018 r., II FSK 799/18) – Lesław Mazur (</w:t>
      </w:r>
      <w:proofErr w:type="spellStart"/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Thedy&amp;Partners</w:t>
      </w:r>
      <w:proofErr w:type="spellEnd"/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</w:t>
      </w:r>
    </w:p>
    <w:p w14:paraId="18473F49" w14:textId="77777777" w:rsidR="002C6850" w:rsidRPr="00C11C53" w:rsidRDefault="002C6850" w:rsidP="00C11C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/>
          <w:bCs/>
          <w:color w:val="000000" w:themeColor="text1"/>
          <w:sz w:val="18"/>
          <w:szCs w:val="18"/>
        </w:rPr>
        <w:t>Podatki dochodowe a podatek od spadków i darowizn</w:t>
      </w:r>
    </w:p>
    <w:p w14:paraId="00539131" w14:textId="77777777" w:rsidR="002C6850" w:rsidRPr="00C11C53" w:rsidRDefault="002C6850" w:rsidP="00C11C5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oronto-Bold"/>
          <w:bCs/>
          <w:color w:val="000000" w:themeColor="text1"/>
          <w:sz w:val="18"/>
          <w:szCs w:val="18"/>
        </w:rPr>
        <w:t>zgodność z Konstytucją RP opodatkowania odpłatnego zbycia nieruchomości nabytych nieodpłatnie (sprawa P 1/19, pytanie prawne SR Lublin Zachód) – Gerard Dźwigała (Dźwigała, Ratajczak i Wspólnicy)</w:t>
      </w:r>
    </w:p>
    <w:p w14:paraId="20F5A4B9" w14:textId="77777777" w:rsidR="002C6850" w:rsidRPr="00C11C53" w:rsidRDefault="002C6850" w:rsidP="00C11C53">
      <w:pPr>
        <w:pStyle w:val="Akapitzlist"/>
        <w:numPr>
          <w:ilvl w:val="0"/>
          <w:numId w:val="15"/>
        </w:numPr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podatek dochodowy a odziedziczone udziały w spółce osobowej umorzone automatycznie (wyrok NSA z dnia 2 sierpnia 2018 r., II FSK 2149/16) – Tomasz Siennicki (KNDP)</w:t>
      </w:r>
    </w:p>
    <w:p w14:paraId="0ABD0F39" w14:textId="77777777" w:rsidR="00256DC0" w:rsidRDefault="001722F3" w:rsidP="00C11C53">
      <w:pPr>
        <w:pStyle w:val="Akapitzlist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b/>
          <w:color w:val="000000" w:themeColor="text1"/>
          <w:sz w:val="18"/>
          <w:szCs w:val="18"/>
          <w:lang w:eastAsia="pl-PL"/>
        </w:rPr>
        <w:t>Dyskusja</w:t>
      </w:r>
      <w:r w:rsidR="00256DC0" w:rsidRPr="00C11C53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 </w:t>
      </w:r>
    </w:p>
    <w:p w14:paraId="11FDC08C" w14:textId="77777777" w:rsidR="003B20A7" w:rsidRPr="003B20A7" w:rsidRDefault="003B20A7" w:rsidP="00C11C53">
      <w:pPr>
        <w:pStyle w:val="Akapitzlist"/>
        <w:jc w:val="both"/>
        <w:rPr>
          <w:rFonts w:ascii="Bookman Old Style" w:eastAsia="Times New Roman" w:hAnsi="Bookman Old Style" w:cs="Arial"/>
          <w:b/>
          <w:color w:val="000000" w:themeColor="text1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11.</w:t>
      </w:r>
      <w:r w:rsidR="00A37ABB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30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-1</w:t>
      </w:r>
      <w:r w:rsidR="00A37ABB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 xml:space="preserve">1.45 </w:t>
      </w:r>
      <w:r w:rsidRPr="003B20A7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 xml:space="preserve">Przerwa na kawę </w:t>
      </w:r>
    </w:p>
    <w:p w14:paraId="4ED06F3C" w14:textId="77777777" w:rsidR="00176B27" w:rsidRPr="00C11C53" w:rsidRDefault="00F0378C" w:rsidP="00C11C53">
      <w:pPr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1</w:t>
      </w:r>
      <w:r w:rsidR="00A37ABB">
        <w:rPr>
          <w:rFonts w:ascii="Bookman Old Style" w:hAnsi="Bookman Old Style"/>
          <w:b/>
          <w:color w:val="000000" w:themeColor="text1"/>
          <w:sz w:val="18"/>
          <w:szCs w:val="18"/>
        </w:rPr>
        <w:t>1.45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-1</w:t>
      </w:r>
      <w:r w:rsidR="00A37ABB">
        <w:rPr>
          <w:rFonts w:ascii="Bookman Old Style" w:hAnsi="Bookman Old Style"/>
          <w:b/>
          <w:color w:val="000000" w:themeColor="text1"/>
          <w:sz w:val="18"/>
          <w:szCs w:val="18"/>
        </w:rPr>
        <w:t>3.00</w:t>
      </w:r>
      <w:r w:rsidR="009D176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Sesja VI prowadzenie: dr hab. Wojciech Morawski prof. UMK</w:t>
      </w:r>
    </w:p>
    <w:p w14:paraId="2D48295D" w14:textId="77777777" w:rsidR="00176B27" w:rsidRPr="00C11C53" w:rsidRDefault="00176B27" w:rsidP="00C11C53">
      <w:pPr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Koszty </w:t>
      </w:r>
      <w:r w:rsidR="007376FC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uzyskania przychodów w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podatkach dochodowych </w:t>
      </w:r>
    </w:p>
    <w:p w14:paraId="4467A316" w14:textId="77777777" w:rsidR="0031626F" w:rsidRPr="00C11C53" w:rsidRDefault="002C6850" w:rsidP="00C11C53">
      <w:pPr>
        <w:pStyle w:val="Akapitzlist"/>
        <w:numPr>
          <w:ilvl w:val="0"/>
          <w:numId w:val="13"/>
        </w:numPr>
        <w:shd w:val="clear" w:color="auto" w:fill="FFFFFF"/>
        <w:spacing w:line="209" w:lineRule="atLeast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color w:val="000000" w:themeColor="text1"/>
          <w:sz w:val="18"/>
          <w:szCs w:val="18"/>
        </w:rPr>
        <w:t xml:space="preserve">odstępne jako koszt uzyskania przychodu (wyrok NSA z dnia 4 października 2018 r., II FSK 2840/16) – sędzia NSA Bogusław </w:t>
      </w:r>
      <w:proofErr w:type="spellStart"/>
      <w:r w:rsidRPr="00C11C53">
        <w:rPr>
          <w:rFonts w:ascii="Bookman Old Style" w:hAnsi="Bookman Old Style"/>
          <w:color w:val="000000" w:themeColor="text1"/>
          <w:sz w:val="18"/>
          <w:szCs w:val="18"/>
        </w:rPr>
        <w:t>Dauter</w:t>
      </w:r>
      <w:proofErr w:type="spellEnd"/>
    </w:p>
    <w:p w14:paraId="56E855B6" w14:textId="77777777" w:rsidR="0031626F" w:rsidRPr="00C11C53" w:rsidRDefault="0031626F" w:rsidP="00C11C53">
      <w:pPr>
        <w:pStyle w:val="Akapitzlist"/>
        <w:numPr>
          <w:ilvl w:val="0"/>
          <w:numId w:val="13"/>
        </w:numPr>
        <w:shd w:val="clear" w:color="auto" w:fill="FFFFFF"/>
        <w:spacing w:line="209" w:lineRule="atLeast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zaliczenie do kosztów uzyskania przychodów kwoty wierzytelności własnej (wyrok WSA w Warszawie z dnia 10 maja 2018 r., III SA/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Wa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1897/17) – Radosław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Baraniewicz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PwC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)</w:t>
      </w:r>
    </w:p>
    <w:p w14:paraId="2A2D1557" w14:textId="77777777" w:rsidR="0072142E" w:rsidRPr="00C11C53" w:rsidRDefault="0072142E" w:rsidP="00C11C53">
      <w:pPr>
        <w:pStyle w:val="Akapitzlist"/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Koszty reprezentacji</w:t>
      </w:r>
    </w:p>
    <w:p w14:paraId="1E986580" w14:textId="328ECE23" w:rsidR="002C6850" w:rsidRPr="00C11C53" w:rsidRDefault="002C6850" w:rsidP="00C11C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Times New Roman"/>
          <w:color w:val="000000" w:themeColor="text1"/>
          <w:sz w:val="18"/>
          <w:szCs w:val="18"/>
          <w:lang w:eastAsia="pl-PL"/>
        </w:rPr>
        <w:t>wydatki poniesione w związku z budowaniem społecznej odpowiedzialności a wydatki reprezentacyjne (w</w:t>
      </w:r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yrok NSA z dnia 26 września 2018 r., II FSK 2500/16) - Michał Potyrała</w:t>
      </w:r>
      <w:r w:rsidR="00E81E2E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/Mariusz Marecki</w:t>
      </w:r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PwC</w:t>
      </w:r>
      <w:proofErr w:type="spellEnd"/>
      <w:r w:rsidRPr="00C11C53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</w:t>
      </w:r>
    </w:p>
    <w:p w14:paraId="577AB07F" w14:textId="77777777" w:rsidR="002C6850" w:rsidRPr="00C11C53" w:rsidRDefault="002C6850" w:rsidP="00C11C5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imes New Roman"/>
          <w:color w:val="000000" w:themeColor="text1"/>
          <w:sz w:val="18"/>
          <w:szCs w:val="18"/>
        </w:rPr>
        <w:t>wydatki gastronomiczne a koszty reprezentacji (wyrok WSA w Rzeszowie z 23 października 2018 r., I SA/</w:t>
      </w:r>
      <w:proofErr w:type="spellStart"/>
      <w:r w:rsidRPr="00C11C53">
        <w:rPr>
          <w:rFonts w:ascii="Bookman Old Style" w:hAnsi="Bookman Old Style" w:cs="Times New Roman"/>
          <w:color w:val="000000" w:themeColor="text1"/>
          <w:sz w:val="18"/>
          <w:szCs w:val="18"/>
        </w:rPr>
        <w:t>Rz</w:t>
      </w:r>
      <w:proofErr w:type="spellEnd"/>
      <w:r w:rsidRPr="00C11C53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741/18; wyrok nieprawomocny) – dr Paweł Majka (UR)</w:t>
      </w:r>
    </w:p>
    <w:p w14:paraId="18D1DF8A" w14:textId="77777777" w:rsidR="00A37ABB" w:rsidRDefault="00A37ABB" w:rsidP="003B20A7">
      <w:pPr>
        <w:pStyle w:val="Akapitzlist"/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8"/>
          <w:szCs w:val="18"/>
        </w:rPr>
      </w:pPr>
    </w:p>
    <w:p w14:paraId="46797E16" w14:textId="64CC027A" w:rsidR="003B20A7" w:rsidRPr="00B3794F" w:rsidRDefault="00A37ABB" w:rsidP="00A37ABB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„Podatki dochodowe – o czym będziemy dyskutować za kilka lat</w:t>
      </w:r>
      <w:r w:rsidR="007A6CDC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?</w:t>
      </w:r>
      <w:r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” </w:t>
      </w:r>
      <w:r w:rsidR="00B3794F" w:rsidRPr="00B3794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- </w:t>
      </w:r>
      <w:r w:rsidRPr="00B3794F">
        <w:rPr>
          <w:rFonts w:ascii="Bookman Old Style" w:hAnsi="Bookman Old Style" w:cs="Times New Roman"/>
          <w:color w:val="000000" w:themeColor="text1"/>
          <w:sz w:val="18"/>
          <w:szCs w:val="18"/>
        </w:rPr>
        <w:t>Maciej Żukowski</w:t>
      </w:r>
      <w:r w:rsidR="00B3794F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(</w:t>
      </w:r>
      <w:r w:rsidRPr="00B3794F">
        <w:rPr>
          <w:rFonts w:ascii="Bookman Old Style" w:hAnsi="Bookman Old Style" w:cs="Times New Roman"/>
          <w:color w:val="000000" w:themeColor="text1"/>
          <w:sz w:val="18"/>
          <w:szCs w:val="18"/>
        </w:rPr>
        <w:t>Dyrektor Departamentu Podatków Dochodowych MF</w:t>
      </w:r>
      <w:r w:rsidR="00B3794F">
        <w:rPr>
          <w:rFonts w:ascii="Bookman Old Style" w:hAnsi="Bookman Old Style" w:cs="Times New Roman"/>
          <w:color w:val="000000" w:themeColor="text1"/>
          <w:sz w:val="18"/>
          <w:szCs w:val="18"/>
        </w:rPr>
        <w:t>)</w:t>
      </w:r>
    </w:p>
    <w:p w14:paraId="3DE6DA60" w14:textId="77777777" w:rsidR="007376FC" w:rsidRPr="00C11C53" w:rsidRDefault="00A37ABB" w:rsidP="00C11C5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Dyskusja</w:t>
      </w:r>
    </w:p>
    <w:p w14:paraId="5C545A2F" w14:textId="77777777" w:rsidR="0067690F" w:rsidRDefault="007A1A08" w:rsidP="00C11C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Lunch 13.</w:t>
      </w:r>
      <w:r w:rsidR="00F6448F"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00</w:t>
      </w:r>
      <w:r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-14.</w:t>
      </w:r>
      <w:r w:rsidR="00F6448F" w:rsidRPr="00C11C53"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  <w:t>00</w:t>
      </w:r>
    </w:p>
    <w:p w14:paraId="2B149797" w14:textId="77777777" w:rsidR="00C11C53" w:rsidRDefault="00C11C53" w:rsidP="00C11C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</w:pPr>
    </w:p>
    <w:p w14:paraId="50083F84" w14:textId="77777777" w:rsidR="00C11C53" w:rsidRPr="00C11C53" w:rsidRDefault="00C11C53" w:rsidP="00C11C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pl-PL"/>
        </w:rPr>
      </w:pPr>
    </w:p>
    <w:p w14:paraId="6779859D" w14:textId="77777777" w:rsidR="007A1A08" w:rsidRPr="00C11C53" w:rsidRDefault="007A1A08" w:rsidP="00C11C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</w:p>
    <w:p w14:paraId="3C07CFFF" w14:textId="77777777" w:rsidR="00AB529A" w:rsidRPr="00C11C53" w:rsidRDefault="00AB529A" w:rsidP="00C11C53">
      <w:pPr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14.</w:t>
      </w:r>
      <w:r w:rsidR="00F6448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00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-16.</w:t>
      </w:r>
      <w:r w:rsidR="00F6448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00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sesja VII prowadzenie: dr. </w:t>
      </w:r>
      <w:r w:rsidR="007A1A08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h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ab. </w:t>
      </w:r>
      <w:r w:rsidR="000F0544">
        <w:rPr>
          <w:rFonts w:ascii="Bookman Old Style" w:hAnsi="Bookman Old Style"/>
          <w:b/>
          <w:color w:val="000000" w:themeColor="text1"/>
          <w:sz w:val="18"/>
          <w:szCs w:val="18"/>
        </w:rPr>
        <w:t>Krzysztof Lasiński-</w:t>
      </w:r>
      <w:proofErr w:type="spellStart"/>
      <w:r w:rsidR="000F0544">
        <w:rPr>
          <w:rFonts w:ascii="Bookman Old Style" w:hAnsi="Bookman Old Style"/>
          <w:b/>
          <w:color w:val="000000" w:themeColor="text1"/>
          <w:sz w:val="18"/>
          <w:szCs w:val="18"/>
        </w:rPr>
        <w:t>Sulecki</w:t>
      </w:r>
      <w:proofErr w:type="spellEnd"/>
      <w:r w:rsidR="000F0544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prof. UMK</w:t>
      </w:r>
    </w:p>
    <w:p w14:paraId="12C33C10" w14:textId="77777777" w:rsidR="007A1A08" w:rsidRPr="00C11C53" w:rsidRDefault="007A1A08" w:rsidP="00C11C53">
      <w:pPr>
        <w:jc w:val="both"/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  <w:lang w:eastAsia="pl-PL"/>
        </w:rPr>
        <w:t>Kraina VAT – problemy ogólne</w:t>
      </w:r>
    </w:p>
    <w:p w14:paraId="66E3DDCB" w14:textId="77777777" w:rsidR="007A1A08" w:rsidRPr="00C11C53" w:rsidRDefault="007A1A08" w:rsidP="00C11C53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Calibri"/>
          <w:color w:val="000000" w:themeColor="text1"/>
          <w:sz w:val="18"/>
          <w:szCs w:val="18"/>
          <w:shd w:val="clear" w:color="auto" w:fill="FFFFFF"/>
        </w:rPr>
        <w:t xml:space="preserve">znaczenie terminu paliwo silnikowe na gruncie art. 103 ust. 5a ustawy o podatku od towarów i usług </w:t>
      </w:r>
      <w:r w:rsidRPr="00C11C53">
        <w:rPr>
          <w:rFonts w:ascii="Bookman Old Style" w:hAnsi="Bookman Old Style"/>
          <w:color w:val="000000" w:themeColor="text1"/>
          <w:sz w:val="18"/>
          <w:szCs w:val="18"/>
        </w:rPr>
        <w:t>(wyrok NSA z dnia 15 listopada 2018 r., I FSK 357/18) – prof. dr hab. Marek Kalinowski (UMK)</w:t>
      </w:r>
    </w:p>
    <w:p w14:paraId="4EC0A67D" w14:textId="77777777" w:rsidR="007A1A08" w:rsidRPr="00C11C53" w:rsidRDefault="007A1A08" w:rsidP="00C11C53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color w:val="000000" w:themeColor="text1"/>
          <w:sz w:val="18"/>
          <w:szCs w:val="18"/>
        </w:rPr>
      </w:pPr>
      <w:r w:rsidRPr="00C11C53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przedawnienie a prawo do odliczenia w VAT (wyrok TSUE z dnia 21 marca 2018 r. w sprawie Volkswagen AG, C</w:t>
      </w:r>
      <w:r w:rsidRPr="00C11C53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noBreakHyphen/>
        <w:t xml:space="preserve">533/16) - </w:t>
      </w:r>
      <w:r w:rsidR="008D421F" w:rsidRPr="00C11C53">
        <w:rPr>
          <w:rFonts w:ascii="Bookman Old Style" w:hAnsi="Bookman Old Style"/>
          <w:color w:val="000000" w:themeColor="text1"/>
          <w:sz w:val="18"/>
          <w:szCs w:val="18"/>
        </w:rPr>
        <w:t>d</w:t>
      </w:r>
      <w:r w:rsidRPr="00C11C53">
        <w:rPr>
          <w:rFonts w:ascii="Bookman Old Style" w:hAnsi="Bookman Old Style"/>
          <w:color w:val="000000" w:themeColor="text1"/>
          <w:sz w:val="18"/>
          <w:szCs w:val="18"/>
        </w:rPr>
        <w:t>r Roman Namysłowski (CRIDO)</w:t>
      </w:r>
    </w:p>
    <w:p w14:paraId="4FBFD8E9" w14:textId="77777777" w:rsidR="007A1A08" w:rsidRPr="00C11C53" w:rsidRDefault="007A1A08" w:rsidP="00C11C53">
      <w:pPr>
        <w:pStyle w:val="Akapitzlist"/>
        <w:numPr>
          <w:ilvl w:val="0"/>
          <w:numId w:val="14"/>
        </w:numPr>
        <w:jc w:val="both"/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budynek wykorzystywany dla celów statutowych gminy i działalności gospodarczej (wyrok TSUE z 25 lipca 2018 r. w sprawie Gminy Ryjewo, C-140/17</w:t>
      </w:r>
      <w:r w:rsidRPr="00C11C53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 xml:space="preserve"> – </w:t>
      </w:r>
      <w:r w:rsidR="008D421F" w:rsidRPr="00C11C53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>d</w:t>
      </w:r>
      <w:r w:rsidRPr="00C11C53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>r Roman Namysłowski (CRIDO)</w:t>
      </w:r>
    </w:p>
    <w:p w14:paraId="0DF131C6" w14:textId="3EF6EFBA" w:rsidR="007A1A08" w:rsidRPr="00C11C53" w:rsidRDefault="007A1A08" w:rsidP="00C11C53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</w:pPr>
      <w:r w:rsidRPr="00C11C53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>prawo do pełnego odliczenia podatku naliczonego w wypadku samochodów parkowan</w:t>
      </w:r>
      <w:r w:rsidR="00967ED3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>ych</w:t>
      </w:r>
      <w:bookmarkStart w:id="1" w:name="_GoBack"/>
      <w:bookmarkEnd w:id="1"/>
      <w:r w:rsidRPr="00C11C53">
        <w:rPr>
          <w:rFonts w:ascii="Bookman Old Style" w:hAnsi="Bookman Old Style"/>
          <w:color w:val="000000" w:themeColor="text1"/>
          <w:sz w:val="18"/>
          <w:szCs w:val="18"/>
          <w:shd w:val="clear" w:color="auto" w:fill="FFFFFF"/>
        </w:rPr>
        <w:t xml:space="preserve"> w miejscu zamieszkania pracowników (wyrok NSA z dnia 4 września 2018 r., I FSK 1636/16) – dr Adam Bartosiewicz (EOL)</w:t>
      </w:r>
    </w:p>
    <w:p w14:paraId="790F2536" w14:textId="2B86EA5C" w:rsidR="007A1A08" w:rsidRPr="00C11C53" w:rsidRDefault="007A1A08" w:rsidP="00C11C53">
      <w:pPr>
        <w:pStyle w:val="Akapitzlist"/>
        <w:numPr>
          <w:ilvl w:val="0"/>
          <w:numId w:val="14"/>
        </w:numPr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sprzedaż budynku z infrastrukturą (wyrok NSA z dnia 18 października 2018 r., I FSK 1633/16) – Tomasz Siennicki (KNDP) </w:t>
      </w:r>
    </w:p>
    <w:p w14:paraId="55136FDE" w14:textId="77777777" w:rsidR="007A1A08" w:rsidRPr="00C11C53" w:rsidRDefault="007A1A08" w:rsidP="00C11C53">
      <w:pPr>
        <w:pStyle w:val="m-6298315457762116456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stałe miejsce prowadzenia działalności gospodarczej (wyrok WSA w Gliwicach z dnia 10 grudnia 2018 roku, III SA/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Gl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 xml:space="preserve"> 800/18 – dr Michał Bernat (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Dentons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)</w:t>
      </w:r>
    </w:p>
    <w:p w14:paraId="65B77D2D" w14:textId="77777777" w:rsidR="007A1A08" w:rsidRDefault="008D421F" w:rsidP="00C11C53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b/>
          <w:color w:val="000000" w:themeColor="text1"/>
          <w:sz w:val="18"/>
          <w:szCs w:val="18"/>
        </w:rPr>
        <w:t>Dyskusja</w:t>
      </w:r>
    </w:p>
    <w:p w14:paraId="4B4A05E8" w14:textId="77777777" w:rsidR="003B20A7" w:rsidRPr="00C11C53" w:rsidRDefault="003B20A7" w:rsidP="00C11C53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00" w:themeColor="text1"/>
          <w:sz w:val="18"/>
          <w:szCs w:val="18"/>
        </w:rPr>
      </w:pPr>
      <w:r>
        <w:rPr>
          <w:rFonts w:ascii="Bookman Old Style" w:hAnsi="Bookman Old Style" w:cs="Arial"/>
          <w:b/>
          <w:color w:val="000000" w:themeColor="text1"/>
          <w:sz w:val="18"/>
          <w:szCs w:val="18"/>
        </w:rPr>
        <w:t xml:space="preserve">16.00-16.15 przerwa na kawę </w:t>
      </w:r>
    </w:p>
    <w:p w14:paraId="71D177F6" w14:textId="77777777" w:rsidR="007A1A08" w:rsidRPr="00C11C53" w:rsidRDefault="007A1A08" w:rsidP="00C11C53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z w:val="18"/>
          <w:szCs w:val="18"/>
        </w:rPr>
      </w:pPr>
    </w:p>
    <w:p w14:paraId="0BF3FAAD" w14:textId="61D914A0" w:rsidR="007A1A08" w:rsidRPr="00C11C53" w:rsidRDefault="007A1A08" w:rsidP="00C11C53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16.</w:t>
      </w:r>
      <w:r w:rsidR="00F6448F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15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-18.</w:t>
      </w:r>
      <w:r w:rsidR="00831DB6">
        <w:rPr>
          <w:rFonts w:ascii="Bookman Old Style" w:hAnsi="Bookman Old Style"/>
          <w:b/>
          <w:color w:val="000000" w:themeColor="text1"/>
          <w:sz w:val="18"/>
          <w:szCs w:val="18"/>
        </w:rPr>
        <w:t>00</w:t>
      </w:r>
      <w:r w:rsidR="007376FC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Sesja VIII</w:t>
      </w:r>
      <w:r w:rsidR="007376FC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prowadzenie: </w:t>
      </w:r>
      <w:r w:rsidR="003B20A7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sędzia NSA Adam </w:t>
      </w:r>
      <w:proofErr w:type="spellStart"/>
      <w:r w:rsidR="003B20A7">
        <w:rPr>
          <w:rFonts w:ascii="Bookman Old Style" w:hAnsi="Bookman Old Style"/>
          <w:b/>
          <w:color w:val="000000" w:themeColor="text1"/>
          <w:sz w:val="18"/>
          <w:szCs w:val="18"/>
        </w:rPr>
        <w:t>Bącal</w:t>
      </w:r>
      <w:proofErr w:type="spellEnd"/>
    </w:p>
    <w:p w14:paraId="29E47E50" w14:textId="77777777" w:rsidR="00AB529A" w:rsidRPr="00C11C53" w:rsidRDefault="00AB529A" w:rsidP="00C11C53">
      <w:pPr>
        <w:jc w:val="both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Kraina VAT - Oszustwa, nadużycia, błędy</w:t>
      </w:r>
      <w:r w:rsidR="007A1A08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</w:t>
      </w:r>
      <w:r w:rsidR="00586150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oraz ich</w:t>
      </w:r>
      <w:r w:rsidR="007A1A08"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 xml:space="preserve"> przypadkowe/nieprzypadkowe ofiary</w:t>
      </w:r>
      <w:r w:rsidRPr="00C11C53">
        <w:rPr>
          <w:rFonts w:ascii="Bookman Old Style" w:hAnsi="Bookman Old Style"/>
          <w:b/>
          <w:color w:val="000000" w:themeColor="text1"/>
          <w:sz w:val="18"/>
          <w:szCs w:val="18"/>
        </w:rPr>
        <w:t>…</w:t>
      </w:r>
    </w:p>
    <w:p w14:paraId="3988C58C" w14:textId="77777777" w:rsidR="00AB529A" w:rsidRPr="00C11C53" w:rsidRDefault="00AB529A" w:rsidP="00C11C53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 xml:space="preserve">granice stosowania art.108, ust.1 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>u.p.t.u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>. (w</w:t>
      </w:r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yrok NSA z dnia 10 października 2018r., I FSK 843/18) – Jarosław Dziewa (</w:t>
      </w:r>
      <w:proofErr w:type="spellStart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Dziewa&amp;Rutyna</w:t>
      </w:r>
      <w:proofErr w:type="spellEnd"/>
      <w:r w:rsidRPr="00C11C53">
        <w:rPr>
          <w:rFonts w:ascii="Bookman Old Style" w:hAnsi="Bookman Old Style" w:cs="Arial"/>
          <w:color w:val="000000" w:themeColor="text1"/>
          <w:sz w:val="18"/>
          <w:szCs w:val="18"/>
        </w:rPr>
        <w:t>)</w:t>
      </w:r>
    </w:p>
    <w:p w14:paraId="4F0F6FAA" w14:textId="77777777" w:rsidR="008D421F" w:rsidRPr="00C11C53" w:rsidRDefault="00AB529A" w:rsidP="00C11C53">
      <w:pPr>
        <w:pStyle w:val="Akapitzlist"/>
        <w:numPr>
          <w:ilvl w:val="0"/>
          <w:numId w:val="19"/>
        </w:numPr>
        <w:shd w:val="clear" w:color="auto" w:fill="FFFFFF"/>
        <w:spacing w:line="209" w:lineRule="atLeast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nadużycie prawa po wyroku </w:t>
      </w:r>
      <w:r w:rsidR="00586150"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TS UE </w:t>
      </w: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w sprawie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Welmory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 (</w:t>
      </w:r>
      <w:r w:rsidRPr="00C11C53">
        <w:rPr>
          <w:rFonts w:ascii="Bookman Old Style" w:hAnsi="Bookman Old Style" w:cs="Arial"/>
          <w:color w:val="000000" w:themeColor="text1"/>
          <w:sz w:val="18"/>
          <w:szCs w:val="18"/>
          <w:shd w:val="clear" w:color="auto" w:fill="FFFFFF"/>
        </w:rPr>
        <w:t>wyrok WSA w Gdańsku z dnia 31 października 2018 r., I SA/Gd 820/18; wyrok nieprawomocny) – Izabela Rymanowska (EY)</w:t>
      </w:r>
      <w:r w:rsidR="008D421F"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</w:t>
      </w:r>
    </w:p>
    <w:p w14:paraId="1E3BA480" w14:textId="77777777" w:rsidR="00AB529A" w:rsidRPr="00C11C53" w:rsidRDefault="008D421F" w:rsidP="00C11C53">
      <w:pPr>
        <w:pStyle w:val="Akapitzlist"/>
        <w:numPr>
          <w:ilvl w:val="0"/>
          <w:numId w:val="19"/>
        </w:numPr>
        <w:shd w:val="clear" w:color="auto" w:fill="FFFFFF"/>
        <w:spacing w:line="209" w:lineRule="atLeast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centralizacja w VAT – warunek odliczenia podatku naliczonego przez JST? (wyrok w składzie 7 sędziów NSA z dnia 23 kwietnia 2018 r., I FSK 1237/17) –  Radosław 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Baraniewicz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PwC</w:t>
      </w:r>
      <w:proofErr w:type="spellEnd"/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)</w:t>
      </w:r>
    </w:p>
    <w:p w14:paraId="712290DF" w14:textId="77777777" w:rsidR="00AB529A" w:rsidRPr="00C11C53" w:rsidRDefault="00AB529A" w:rsidP="00C11C53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 xml:space="preserve">skutki dostawy dla nieznanego podmiotu (pytanie prejudycjalne do TS UE, postanowienie NSA z dnia 19 czerwca 2018 r., I FSK 126/18) - </w:t>
      </w:r>
      <w:r w:rsidR="00586150" w:rsidRPr="00C11C53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pl-PL"/>
        </w:rPr>
        <w:t>d</w:t>
      </w:r>
      <w:r w:rsidRPr="00C11C53">
        <w:rPr>
          <w:rFonts w:ascii="Bookman Old Style" w:eastAsia="Times New Roman" w:hAnsi="Bookman Old Style" w:cs="Calibri"/>
          <w:color w:val="000000" w:themeColor="text1"/>
          <w:sz w:val="18"/>
          <w:szCs w:val="18"/>
          <w:lang w:eastAsia="pl-PL"/>
        </w:rPr>
        <w:t>r Roman Namysłowski (CRIDO)</w:t>
      </w:r>
    </w:p>
    <w:p w14:paraId="561CBB10" w14:textId="7B557704" w:rsidR="008D421F" w:rsidRPr="00C11C53" w:rsidRDefault="00AB529A" w:rsidP="00C11C53">
      <w:pPr>
        <w:pStyle w:val="Akapitzlist"/>
        <w:numPr>
          <w:ilvl w:val="0"/>
          <w:numId w:val="19"/>
        </w:num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 w:rsidRPr="00C11C53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stopień precyzyjności faktury (postanowienie TS UE z dnia 13 grudnia 2018 r., w sprawie C-491/18 Mennica Wrocławska p. Dyrektorowi Izby Administracji Skarbowej we</w:t>
      </w:r>
      <w:r w:rsidR="00831DB6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 Wrocławiu)</w:t>
      </w:r>
      <w:r w:rsidRPr="00C11C53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– Krzysztof Musiał (Musiał i Partnerzy)</w:t>
      </w:r>
    </w:p>
    <w:p w14:paraId="27413EFD" w14:textId="77777777" w:rsidR="000F0544" w:rsidRDefault="000F0544" w:rsidP="00EB3B46">
      <w:pPr>
        <w:ind w:left="360"/>
        <w:jc w:val="both"/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</w:pPr>
      <w:r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Dyskusja</w:t>
      </w:r>
    </w:p>
    <w:p w14:paraId="0D1A3226" w14:textId="203E5D05" w:rsidR="00EB3B46" w:rsidRDefault="008D421F" w:rsidP="00EB3B46">
      <w:pPr>
        <w:ind w:left="360"/>
        <w:jc w:val="both"/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</w:pPr>
      <w:r w:rsidRPr="00EB3B4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18</w:t>
      </w:r>
      <w:r w:rsidR="00831DB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.00</w:t>
      </w:r>
      <w:r w:rsidRPr="00EB3B4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-</w:t>
      </w:r>
      <w:r w:rsidR="00C11C53" w:rsidRPr="00EB3B4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 xml:space="preserve">… </w:t>
      </w:r>
    </w:p>
    <w:p w14:paraId="4102A529" w14:textId="77777777" w:rsidR="00EB3B46" w:rsidRDefault="008D421F" w:rsidP="00EB3B46">
      <w:pPr>
        <w:ind w:left="360"/>
        <w:jc w:val="center"/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</w:pPr>
      <w:r w:rsidRPr="00EB3B4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Podsumowanie i zakończenie konferencji</w:t>
      </w:r>
    </w:p>
    <w:p w14:paraId="1D86E911" w14:textId="77777777" w:rsidR="008D421F" w:rsidRPr="00EB3B46" w:rsidRDefault="008D421F" w:rsidP="00EB3B46">
      <w:pPr>
        <w:ind w:left="360"/>
        <w:jc w:val="center"/>
        <w:rPr>
          <w:rFonts w:ascii="Bookman Old Style" w:eastAsia="Times New Roman" w:hAnsi="Bookman Old Style" w:cs="Calibri"/>
          <w:b/>
          <w:bCs/>
          <w:color w:val="000000" w:themeColor="text1"/>
          <w:sz w:val="18"/>
          <w:szCs w:val="18"/>
          <w:lang w:eastAsia="pl-PL"/>
        </w:rPr>
      </w:pPr>
      <w:r w:rsidRPr="00EB3B46">
        <w:rPr>
          <w:rFonts w:ascii="Bookman Old Style" w:hAnsi="Bookman Old Style" w:cs="Bookman Old Style"/>
          <w:b/>
          <w:i/>
          <w:iCs/>
          <w:color w:val="000000"/>
          <w:sz w:val="18"/>
          <w:szCs w:val="18"/>
        </w:rPr>
        <w:t>prof. dr hab. Bogumił Brzeziński, dr h. c.</w:t>
      </w:r>
    </w:p>
    <w:p w14:paraId="5BA7FC7A" w14:textId="77777777" w:rsidR="00AB529A" w:rsidRPr="00C11C53" w:rsidRDefault="00AB529A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568DC337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1786E83B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2D87CB58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4D90B361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433E63DC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4B89BDAC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7E3E45A6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3602ED29" w14:textId="77777777" w:rsid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4F42B127" w14:textId="77777777" w:rsidR="00C11C53" w:rsidRPr="00C11C53" w:rsidRDefault="00C11C53" w:rsidP="00C11C53">
      <w:pPr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</w:p>
    <w:p w14:paraId="4C92F7E3" w14:textId="77777777" w:rsidR="00C11C53" w:rsidRPr="008E1FAD" w:rsidRDefault="00C11C53" w:rsidP="00C11C53">
      <w:pPr>
        <w:pStyle w:val="Default"/>
        <w:jc w:val="center"/>
        <w:rPr>
          <w:b/>
          <w:bCs/>
          <w:sz w:val="20"/>
          <w:szCs w:val="20"/>
        </w:rPr>
      </w:pPr>
      <w:r w:rsidRPr="008E1FAD">
        <w:rPr>
          <w:b/>
          <w:bCs/>
          <w:sz w:val="20"/>
          <w:szCs w:val="20"/>
        </w:rPr>
        <w:lastRenderedPageBreak/>
        <w:t xml:space="preserve">ZGŁOSZENIE NA KONFERENCJĘ </w:t>
      </w:r>
    </w:p>
    <w:p w14:paraId="3D3CADAF" w14:textId="77777777" w:rsidR="00C11C53" w:rsidRPr="008E1FAD" w:rsidRDefault="00C11C53" w:rsidP="00C11C53">
      <w:pPr>
        <w:pStyle w:val="Default"/>
        <w:jc w:val="center"/>
        <w:rPr>
          <w:b/>
          <w:bCs/>
          <w:sz w:val="20"/>
          <w:szCs w:val="20"/>
        </w:rPr>
      </w:pPr>
      <w:r w:rsidRPr="008E1FAD">
        <w:rPr>
          <w:b/>
          <w:bCs/>
          <w:sz w:val="20"/>
          <w:szCs w:val="20"/>
        </w:rPr>
        <w:t>IV Toruński Przegląd Orzecznictwa Podatkowego</w:t>
      </w:r>
    </w:p>
    <w:p w14:paraId="5BDFF3D4" w14:textId="77777777" w:rsidR="00C11C53" w:rsidRPr="008E1FAD" w:rsidRDefault="00C11C53" w:rsidP="00C11C53">
      <w:pPr>
        <w:pStyle w:val="Default"/>
        <w:jc w:val="center"/>
        <w:rPr>
          <w:sz w:val="20"/>
          <w:szCs w:val="20"/>
        </w:rPr>
      </w:pPr>
      <w:r w:rsidRPr="008E1FAD">
        <w:rPr>
          <w:b/>
          <w:bCs/>
          <w:sz w:val="20"/>
          <w:szCs w:val="20"/>
        </w:rPr>
        <w:t>1-2 marca 2019 r.</w:t>
      </w:r>
    </w:p>
    <w:p w14:paraId="399A0361" w14:textId="77777777" w:rsidR="00C11C53" w:rsidRPr="008E1FAD" w:rsidRDefault="00C11C53" w:rsidP="00C11C53">
      <w:pPr>
        <w:pStyle w:val="Default"/>
        <w:jc w:val="center"/>
        <w:rPr>
          <w:b/>
          <w:bCs/>
          <w:sz w:val="20"/>
          <w:szCs w:val="20"/>
        </w:rPr>
      </w:pPr>
      <w:r w:rsidRPr="008E1FAD">
        <w:rPr>
          <w:b/>
          <w:bCs/>
          <w:sz w:val="20"/>
          <w:szCs w:val="20"/>
        </w:rPr>
        <w:t>Wydział Prawa i Administracji UMK, ul. Bojarskiego 3</w:t>
      </w:r>
    </w:p>
    <w:p w14:paraId="64806146" w14:textId="77777777" w:rsidR="00C11C53" w:rsidRPr="008E1FAD" w:rsidRDefault="00C11C53" w:rsidP="00C11C53">
      <w:pPr>
        <w:pStyle w:val="Default"/>
        <w:jc w:val="both"/>
        <w:rPr>
          <w:b/>
          <w:bCs/>
          <w:sz w:val="20"/>
          <w:szCs w:val="20"/>
        </w:rPr>
      </w:pPr>
      <w:r w:rsidRPr="008E1FAD">
        <w:rPr>
          <w:b/>
          <w:bCs/>
          <w:sz w:val="20"/>
          <w:szCs w:val="20"/>
        </w:rPr>
        <w:t xml:space="preserve">Prosimy wypełnić odrębną kartę zgłoszenia dla każdego z uczestników </w:t>
      </w:r>
    </w:p>
    <w:p w14:paraId="2C20ADBF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</w:p>
    <w:p w14:paraId="7CB640C4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  <w:r w:rsidRPr="008E1FAD">
        <w:rPr>
          <w:sz w:val="20"/>
          <w:szCs w:val="20"/>
        </w:rPr>
        <w:t xml:space="preserve">Imię……………………………… Nazwisko………………………………………………..… </w:t>
      </w:r>
    </w:p>
    <w:p w14:paraId="76DF8ADF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</w:p>
    <w:p w14:paraId="78DF8DF6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</w:p>
    <w:p w14:paraId="3356076F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  <w:r w:rsidRPr="008E1FAD">
        <w:rPr>
          <w:sz w:val="20"/>
          <w:szCs w:val="20"/>
        </w:rPr>
        <w:t>Firma………………………………………………………………………………………………………………</w:t>
      </w:r>
    </w:p>
    <w:p w14:paraId="06680AEA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</w:p>
    <w:p w14:paraId="60776176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  <w:r w:rsidRPr="008E1FAD">
        <w:rPr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14:paraId="5EE2DD62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</w:p>
    <w:p w14:paraId="4053D98F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  <w:r w:rsidRPr="008E1FAD">
        <w:rPr>
          <w:sz w:val="20"/>
          <w:szCs w:val="20"/>
        </w:rPr>
        <w:t>NIP/PESEL do rachunku</w:t>
      </w:r>
    </w:p>
    <w:p w14:paraId="6BCE1E6F" w14:textId="77777777" w:rsidR="00C11C53" w:rsidRPr="008E1FAD" w:rsidRDefault="00C11C53" w:rsidP="00C11C53">
      <w:pPr>
        <w:pStyle w:val="Default"/>
        <w:jc w:val="both"/>
        <w:rPr>
          <w:sz w:val="20"/>
          <w:szCs w:val="20"/>
        </w:rPr>
      </w:pPr>
      <w:r w:rsidRPr="008E1FAD">
        <w:rPr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14:paraId="5D728035" w14:textId="77777777" w:rsidR="00C11C53" w:rsidRPr="008E1FAD" w:rsidRDefault="00C11C53" w:rsidP="00C11C53">
      <w:pPr>
        <w:pStyle w:val="Default"/>
        <w:spacing w:line="360" w:lineRule="auto"/>
        <w:jc w:val="both"/>
        <w:rPr>
          <w:sz w:val="20"/>
          <w:szCs w:val="20"/>
        </w:rPr>
      </w:pPr>
      <w:r w:rsidRPr="008E1FAD">
        <w:rPr>
          <w:sz w:val="20"/>
          <w:szCs w:val="20"/>
        </w:rPr>
        <w:t>Chcę otrzymać zaświadczenie o udziale: tak/nie</w:t>
      </w:r>
    </w:p>
    <w:p w14:paraId="0CAD6313" w14:textId="77777777" w:rsidR="00C11C53" w:rsidRPr="008E1FAD" w:rsidRDefault="00C11C53" w:rsidP="00C11C53">
      <w:pPr>
        <w:pStyle w:val="Default"/>
        <w:spacing w:line="360" w:lineRule="auto"/>
        <w:jc w:val="both"/>
        <w:rPr>
          <w:sz w:val="20"/>
          <w:szCs w:val="20"/>
        </w:rPr>
      </w:pPr>
      <w:r w:rsidRPr="008E1FAD">
        <w:rPr>
          <w:sz w:val="20"/>
          <w:szCs w:val="20"/>
        </w:rPr>
        <w:t xml:space="preserve">Zgadzam się na wystawienie i doręczenie faktury elektronicznej: tak/nie </w:t>
      </w:r>
    </w:p>
    <w:p w14:paraId="72BE8001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 xml:space="preserve">Adres </w:t>
      </w:r>
      <w:proofErr w:type="spellStart"/>
      <w:r w:rsidRPr="008E1FAD">
        <w:rPr>
          <w:sz w:val="20"/>
          <w:szCs w:val="20"/>
        </w:rPr>
        <w:t>emailowy</w:t>
      </w:r>
      <w:proofErr w:type="spellEnd"/>
      <w:r w:rsidRPr="008E1FAD">
        <w:rPr>
          <w:sz w:val="20"/>
          <w:szCs w:val="20"/>
        </w:rPr>
        <w:t xml:space="preserve"> (koniecznie), na który potwierdzimy przyjęcie zgłoszenia i wybór śniadania podatkoweg</w:t>
      </w:r>
      <w:r>
        <w:rPr>
          <w:sz w:val="20"/>
          <w:szCs w:val="20"/>
        </w:rPr>
        <w:t>o oraz</w:t>
      </w:r>
      <w:r w:rsidRPr="008E1FAD">
        <w:rPr>
          <w:sz w:val="20"/>
          <w:szCs w:val="20"/>
        </w:rPr>
        <w:t xml:space="preserve"> prześlemy materiały konferencyjne (ewentualnie też nr telefonu):</w:t>
      </w:r>
    </w:p>
    <w:p w14:paraId="114197BC" w14:textId="77777777" w:rsidR="00C11C53" w:rsidRPr="008E1FAD" w:rsidRDefault="00C11C53" w:rsidP="00C11C53">
      <w:pPr>
        <w:pStyle w:val="Default"/>
        <w:rPr>
          <w:sz w:val="20"/>
          <w:szCs w:val="20"/>
        </w:rPr>
      </w:pPr>
    </w:p>
    <w:p w14:paraId="1C66B408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2B155B3E" w14:textId="77777777" w:rsidR="00C11C53" w:rsidRPr="008E1FAD" w:rsidRDefault="00C11C53" w:rsidP="00C11C53">
      <w:pPr>
        <w:pStyle w:val="Default"/>
        <w:rPr>
          <w:b/>
          <w:sz w:val="20"/>
          <w:szCs w:val="20"/>
        </w:rPr>
      </w:pPr>
      <w:r w:rsidRPr="008E1FAD">
        <w:rPr>
          <w:b/>
          <w:sz w:val="20"/>
          <w:szCs w:val="20"/>
        </w:rPr>
        <w:t xml:space="preserve">Wybór śniadania podatkowego </w:t>
      </w:r>
      <w:r>
        <w:rPr>
          <w:b/>
          <w:sz w:val="20"/>
          <w:szCs w:val="20"/>
        </w:rPr>
        <w:t xml:space="preserve">- </w:t>
      </w:r>
      <w:r w:rsidRPr="008E1FAD">
        <w:rPr>
          <w:b/>
          <w:sz w:val="20"/>
          <w:szCs w:val="20"/>
        </w:rPr>
        <w:t xml:space="preserve">sobota 2 marca 2019. </w:t>
      </w:r>
    </w:p>
    <w:p w14:paraId="6D5A262C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>Proszę określić preferencje w zakresie przydziału do śniadania podatkowego liczbami od 1 (najbardziej preferowane) do 5 – patrz więcej informacji:</w:t>
      </w:r>
      <w:r>
        <w:rPr>
          <w:sz w:val="20"/>
          <w:szCs w:val="20"/>
        </w:rPr>
        <w:t xml:space="preserve"> </w:t>
      </w:r>
      <w:hyperlink r:id="rId11" w:history="1">
        <w:r w:rsidRPr="000568EA">
          <w:rPr>
            <w:rStyle w:val="Hipercze"/>
            <w:sz w:val="20"/>
            <w:szCs w:val="20"/>
          </w:rPr>
          <w:t>https://www.law.umk.pl/osf/konferencje/torunski-przeglad-orzecznictwa-podatkowego/2019-2/</w:t>
        </w:r>
      </w:hyperlink>
      <w:r>
        <w:rPr>
          <w:sz w:val="20"/>
          <w:szCs w:val="20"/>
        </w:rPr>
        <w:t xml:space="preserve">   (plik: </w:t>
      </w:r>
      <w:proofErr w:type="spellStart"/>
      <w:r>
        <w:rPr>
          <w:sz w:val="20"/>
          <w:szCs w:val="20"/>
        </w:rPr>
        <w:t>sniadania_hotele</w:t>
      </w:r>
      <w:proofErr w:type="spellEnd"/>
      <w:r>
        <w:rPr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805"/>
        <w:gridCol w:w="807"/>
        <w:gridCol w:w="807"/>
        <w:gridCol w:w="809"/>
        <w:gridCol w:w="807"/>
        <w:gridCol w:w="804"/>
        <w:gridCol w:w="804"/>
      </w:tblGrid>
      <w:tr w:rsidR="00C11C53" w:rsidRPr="008E1FAD" w14:paraId="006A6744" w14:textId="77777777" w:rsidTr="009F4CFE">
        <w:tc>
          <w:tcPr>
            <w:tcW w:w="1305" w:type="dxa"/>
          </w:tcPr>
          <w:p w14:paraId="36775F38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śniadanie</w:t>
            </w:r>
          </w:p>
        </w:tc>
        <w:tc>
          <w:tcPr>
            <w:tcW w:w="805" w:type="dxa"/>
          </w:tcPr>
          <w:p w14:paraId="1C8CBD4A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A</w:t>
            </w:r>
          </w:p>
        </w:tc>
        <w:tc>
          <w:tcPr>
            <w:tcW w:w="807" w:type="dxa"/>
          </w:tcPr>
          <w:p w14:paraId="5E468078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14:paraId="51BB6B76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C</w:t>
            </w:r>
          </w:p>
        </w:tc>
        <w:tc>
          <w:tcPr>
            <w:tcW w:w="809" w:type="dxa"/>
          </w:tcPr>
          <w:p w14:paraId="1E166EFA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D</w:t>
            </w:r>
          </w:p>
        </w:tc>
        <w:tc>
          <w:tcPr>
            <w:tcW w:w="807" w:type="dxa"/>
          </w:tcPr>
          <w:p w14:paraId="5DAC2FE1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E</w:t>
            </w:r>
          </w:p>
        </w:tc>
        <w:tc>
          <w:tcPr>
            <w:tcW w:w="804" w:type="dxa"/>
          </w:tcPr>
          <w:p w14:paraId="31B5BA62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F</w:t>
            </w:r>
          </w:p>
        </w:tc>
        <w:tc>
          <w:tcPr>
            <w:tcW w:w="804" w:type="dxa"/>
          </w:tcPr>
          <w:p w14:paraId="23BC0DCE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</w:tr>
      <w:tr w:rsidR="00C11C53" w:rsidRPr="008E1FAD" w14:paraId="4697A21F" w14:textId="77777777" w:rsidTr="009F4CFE">
        <w:tc>
          <w:tcPr>
            <w:tcW w:w="1305" w:type="dxa"/>
          </w:tcPr>
          <w:p w14:paraId="0D083D80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preferencja</w:t>
            </w:r>
          </w:p>
        </w:tc>
        <w:tc>
          <w:tcPr>
            <w:tcW w:w="805" w:type="dxa"/>
          </w:tcPr>
          <w:p w14:paraId="102C07E8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4381B4D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77C03CB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BAA6862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37373E9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7F32724E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4D58112C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23350A2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 xml:space="preserve"> </w:t>
      </w:r>
    </w:p>
    <w:p w14:paraId="45A93ABB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 xml:space="preserve">Zgłoszenia wraz z dowodem wpłaty opłaty konferencyjnej proszę kierować: </w:t>
      </w:r>
    </w:p>
    <w:p w14:paraId="083EF6A6" w14:textId="77777777" w:rsidR="00C11C53" w:rsidRPr="008E1FAD" w:rsidRDefault="00C11C53" w:rsidP="00C11C53">
      <w:pPr>
        <w:pStyle w:val="Default"/>
        <w:spacing w:after="33"/>
        <w:rPr>
          <w:sz w:val="20"/>
          <w:szCs w:val="20"/>
        </w:rPr>
      </w:pPr>
      <w:r w:rsidRPr="008E1FAD">
        <w:rPr>
          <w:sz w:val="20"/>
          <w:szCs w:val="20"/>
        </w:rPr>
        <w:t xml:space="preserve"> pocztą elektroniczną na adres: </w:t>
      </w:r>
      <w:hyperlink r:id="rId12" w:history="1">
        <w:r>
          <w:rPr>
            <w:rStyle w:val="Hipercze"/>
          </w:rPr>
          <w:t>lucyna.jakubowska@umk.pl</w:t>
        </w:r>
      </w:hyperlink>
      <w:r w:rsidRPr="008E1FAD">
        <w:rPr>
          <w:sz w:val="20"/>
          <w:szCs w:val="20"/>
        </w:rPr>
        <w:t xml:space="preserve"> (w tytule proszę wpisać: (TPOP 2019 wraz z imieniem i nazwiskiem uczestnika) lub </w:t>
      </w:r>
    </w:p>
    <w:p w14:paraId="7288E231" w14:textId="77777777" w:rsidR="00C11C53" w:rsidRPr="008E1FAD" w:rsidRDefault="00C11C53" w:rsidP="00C11C53">
      <w:pPr>
        <w:pStyle w:val="Default"/>
        <w:spacing w:after="33"/>
        <w:rPr>
          <w:sz w:val="20"/>
          <w:szCs w:val="20"/>
        </w:rPr>
      </w:pPr>
      <w:r w:rsidRPr="008E1FAD">
        <w:rPr>
          <w:sz w:val="20"/>
          <w:szCs w:val="20"/>
        </w:rPr>
        <w:t> faksem na numer: 56 611 40 14  (z dopiskiem: Pani Lucyna Jakubowska/OSF).</w:t>
      </w:r>
    </w:p>
    <w:p w14:paraId="085A723B" w14:textId="77777777" w:rsidR="00C11C53" w:rsidRPr="008E1FAD" w:rsidRDefault="00C11C53" w:rsidP="00C11C53">
      <w:pPr>
        <w:pStyle w:val="Default"/>
        <w:rPr>
          <w:sz w:val="20"/>
          <w:szCs w:val="20"/>
        </w:rPr>
      </w:pPr>
    </w:p>
    <w:p w14:paraId="10DD01CD" w14:textId="77777777" w:rsidR="00C11C53" w:rsidRPr="008E1FAD" w:rsidRDefault="00C11C53" w:rsidP="00C11C53">
      <w:pPr>
        <w:pStyle w:val="Default"/>
        <w:rPr>
          <w:b/>
          <w:sz w:val="20"/>
          <w:szCs w:val="20"/>
        </w:rPr>
      </w:pPr>
      <w:r w:rsidRPr="008E1FAD">
        <w:rPr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C11C53" w:rsidRPr="008E1FAD" w14:paraId="4924EF07" w14:textId="77777777" w:rsidTr="000E5B56">
        <w:trPr>
          <w:trHeight w:val="90"/>
        </w:trPr>
        <w:tc>
          <w:tcPr>
            <w:tcW w:w="7338" w:type="dxa"/>
          </w:tcPr>
          <w:p w14:paraId="099ACA13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12470203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900</w:t>
            </w:r>
          </w:p>
        </w:tc>
      </w:tr>
      <w:tr w:rsidR="00C11C53" w:rsidRPr="008E1FAD" w14:paraId="73625D90" w14:textId="77777777" w:rsidTr="000E5B56">
        <w:trPr>
          <w:trHeight w:val="550"/>
        </w:trPr>
        <w:tc>
          <w:tcPr>
            <w:tcW w:w="7338" w:type="dxa"/>
          </w:tcPr>
          <w:p w14:paraId="28F2B364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 xml:space="preserve">Adresaci </w:t>
            </w:r>
            <w:proofErr w:type="spellStart"/>
            <w:r w:rsidRPr="008E1FAD">
              <w:rPr>
                <w:sz w:val="20"/>
                <w:szCs w:val="20"/>
              </w:rPr>
              <w:t>newslettera</w:t>
            </w:r>
            <w:proofErr w:type="spellEnd"/>
            <w:r w:rsidRPr="008E1FAD">
              <w:rPr>
                <w:sz w:val="20"/>
                <w:szCs w:val="20"/>
              </w:rPr>
              <w:t xml:space="preserve"> OSF, prenumeratorzy </w:t>
            </w:r>
            <w:r w:rsidRPr="008E1FAD">
              <w:rPr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14:paraId="01D8C0A0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800</w:t>
            </w:r>
          </w:p>
        </w:tc>
      </w:tr>
      <w:tr w:rsidR="00C11C53" w:rsidRPr="008E1FAD" w14:paraId="4C51FC62" w14:textId="77777777" w:rsidTr="000E5B56">
        <w:trPr>
          <w:trHeight w:val="550"/>
        </w:trPr>
        <w:tc>
          <w:tcPr>
            <w:tcW w:w="7338" w:type="dxa"/>
          </w:tcPr>
          <w:p w14:paraId="1FAC5A4C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 xml:space="preserve">Uczestnicy stacjonarnych studiów doktoranckich </w:t>
            </w:r>
          </w:p>
        </w:tc>
        <w:tc>
          <w:tcPr>
            <w:tcW w:w="1701" w:type="dxa"/>
          </w:tcPr>
          <w:p w14:paraId="3210DF44" w14:textId="77777777" w:rsidR="00C11C53" w:rsidRPr="008E1FAD" w:rsidRDefault="00C11C53" w:rsidP="000E5B56">
            <w:pPr>
              <w:pStyle w:val="Default"/>
              <w:rPr>
                <w:sz w:val="20"/>
                <w:szCs w:val="20"/>
              </w:rPr>
            </w:pPr>
            <w:r w:rsidRPr="008E1FAD">
              <w:rPr>
                <w:sz w:val="20"/>
                <w:szCs w:val="20"/>
              </w:rPr>
              <w:t>700</w:t>
            </w:r>
          </w:p>
        </w:tc>
      </w:tr>
    </w:tbl>
    <w:p w14:paraId="004C1CCA" w14:textId="77777777" w:rsidR="00C11C53" w:rsidRPr="008E1FAD" w:rsidRDefault="00C11C53" w:rsidP="00C11C53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się. </w:t>
      </w:r>
    </w:p>
    <w:p w14:paraId="02F9150E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sz w:val="20"/>
          <w:szCs w:val="20"/>
        </w:rPr>
        <w:t xml:space="preserve">Opłata konferencyjna obejmuje: udział w konferencji, materiały konferencyjne, przerwy kawowe, kolację dnia 1 marca 2019 r. (Dwór Artusa, Rynek Staromiejski), śniadanie podatkowe 2 marca 2019 r. i przerwy  lunchowe 1 i 2 marca 2019 r. </w:t>
      </w:r>
    </w:p>
    <w:p w14:paraId="28A958E2" w14:textId="77777777" w:rsidR="00C11C53" w:rsidRPr="008E1FAD" w:rsidRDefault="00C11C53" w:rsidP="00C11C53">
      <w:pPr>
        <w:pStyle w:val="Default"/>
        <w:rPr>
          <w:sz w:val="20"/>
          <w:szCs w:val="20"/>
        </w:rPr>
      </w:pPr>
    </w:p>
    <w:p w14:paraId="03C3B10F" w14:textId="77777777" w:rsidR="00C11C53" w:rsidRPr="008E1FAD" w:rsidRDefault="00C11C53" w:rsidP="00C11C53">
      <w:pPr>
        <w:pStyle w:val="Default"/>
        <w:rPr>
          <w:sz w:val="20"/>
          <w:szCs w:val="20"/>
        </w:rPr>
      </w:pPr>
      <w:r w:rsidRPr="008E1FAD">
        <w:rPr>
          <w:b/>
          <w:bCs/>
          <w:sz w:val="20"/>
          <w:szCs w:val="20"/>
        </w:rPr>
        <w:t xml:space="preserve">Wpłaty proszę kierować na rachunek: </w:t>
      </w:r>
    </w:p>
    <w:p w14:paraId="056C2D4F" w14:textId="77777777" w:rsidR="00C11C53" w:rsidRPr="008E1FAD" w:rsidRDefault="00C11C53" w:rsidP="00C11C53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14:paraId="2212E8E9" w14:textId="77777777" w:rsidR="00C11C53" w:rsidRPr="008E1FAD" w:rsidRDefault="00C11C53" w:rsidP="00C11C53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14:paraId="4A7DED20" w14:textId="77777777" w:rsidR="00C11C53" w:rsidRPr="008E1FAD" w:rsidRDefault="00C11C53" w:rsidP="00C11C53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14:paraId="5BFEC8D7" w14:textId="77777777" w:rsidR="00C11C53" w:rsidRPr="008E1FAD" w:rsidRDefault="00C11C53" w:rsidP="00C11C53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Bank Spółdzielczy w Toruniu: </w:t>
      </w:r>
      <w:r w:rsidRPr="008E1F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14:paraId="586BCAF4" w14:textId="77777777" w:rsidR="002C6850" w:rsidRPr="00574D01" w:rsidRDefault="00C11C53" w:rsidP="00C11C53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tytuł wpłaty: TPOP 2019” wraz z podaniem imienia i nazwiska uczestnika.</w:t>
      </w:r>
    </w:p>
    <w:sectPr w:rsidR="002C6850" w:rsidRPr="0057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119B" w14:textId="77777777" w:rsidR="006A3E5F" w:rsidRDefault="006A3E5F" w:rsidP="00150AD3">
      <w:pPr>
        <w:spacing w:after="0" w:line="240" w:lineRule="auto"/>
      </w:pPr>
      <w:r>
        <w:separator/>
      </w:r>
    </w:p>
  </w:endnote>
  <w:endnote w:type="continuationSeparator" w:id="0">
    <w:p w14:paraId="444FB4B7" w14:textId="77777777" w:rsidR="006A3E5F" w:rsidRDefault="006A3E5F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FCEC" w14:textId="77777777" w:rsidR="006A3E5F" w:rsidRDefault="006A3E5F" w:rsidP="00150AD3">
      <w:pPr>
        <w:spacing w:after="0" w:line="240" w:lineRule="auto"/>
      </w:pPr>
      <w:r>
        <w:separator/>
      </w:r>
    </w:p>
  </w:footnote>
  <w:footnote w:type="continuationSeparator" w:id="0">
    <w:p w14:paraId="2E7CB67D" w14:textId="77777777" w:rsidR="006A3E5F" w:rsidRDefault="006A3E5F" w:rsidP="0015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072"/>
    <w:multiLevelType w:val="hybridMultilevel"/>
    <w:tmpl w:val="3606F7E2"/>
    <w:lvl w:ilvl="0" w:tplc="5CB876B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47F"/>
    <w:multiLevelType w:val="multilevel"/>
    <w:tmpl w:val="EE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7702A"/>
    <w:multiLevelType w:val="hybridMultilevel"/>
    <w:tmpl w:val="9892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4C6D"/>
    <w:multiLevelType w:val="multilevel"/>
    <w:tmpl w:val="838C3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D4233"/>
    <w:multiLevelType w:val="hybridMultilevel"/>
    <w:tmpl w:val="23F6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0D01"/>
    <w:multiLevelType w:val="hybridMultilevel"/>
    <w:tmpl w:val="101EB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259A"/>
    <w:multiLevelType w:val="multilevel"/>
    <w:tmpl w:val="910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74AD2"/>
    <w:multiLevelType w:val="multilevel"/>
    <w:tmpl w:val="1F9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1625A"/>
    <w:multiLevelType w:val="hybridMultilevel"/>
    <w:tmpl w:val="B226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161"/>
    <w:multiLevelType w:val="hybridMultilevel"/>
    <w:tmpl w:val="E726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B4B2A"/>
    <w:multiLevelType w:val="hybridMultilevel"/>
    <w:tmpl w:val="8DC0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034BC"/>
    <w:multiLevelType w:val="hybridMultilevel"/>
    <w:tmpl w:val="BAE2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B7410"/>
    <w:multiLevelType w:val="multilevel"/>
    <w:tmpl w:val="D19CF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B37B2"/>
    <w:multiLevelType w:val="hybridMultilevel"/>
    <w:tmpl w:val="AEE6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50A"/>
    <w:multiLevelType w:val="hybridMultilevel"/>
    <w:tmpl w:val="6136C7A6"/>
    <w:lvl w:ilvl="0" w:tplc="BF0222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A198B"/>
    <w:multiLevelType w:val="hybridMultilevel"/>
    <w:tmpl w:val="4C54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386C"/>
    <w:multiLevelType w:val="hybridMultilevel"/>
    <w:tmpl w:val="6C30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C3A83"/>
    <w:multiLevelType w:val="hybridMultilevel"/>
    <w:tmpl w:val="D0CC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1880"/>
    <w:multiLevelType w:val="multilevel"/>
    <w:tmpl w:val="317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A55A32"/>
    <w:multiLevelType w:val="hybridMultilevel"/>
    <w:tmpl w:val="F52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71"/>
    <w:rsid w:val="000222B2"/>
    <w:rsid w:val="000546F9"/>
    <w:rsid w:val="00060BD2"/>
    <w:rsid w:val="00063555"/>
    <w:rsid w:val="00075899"/>
    <w:rsid w:val="000B54F4"/>
    <w:rsid w:val="000D2D61"/>
    <w:rsid w:val="000D43E1"/>
    <w:rsid w:val="000F02EF"/>
    <w:rsid w:val="000F0544"/>
    <w:rsid w:val="00107B32"/>
    <w:rsid w:val="00150AD3"/>
    <w:rsid w:val="00153305"/>
    <w:rsid w:val="001722F3"/>
    <w:rsid w:val="00176B27"/>
    <w:rsid w:val="00181EC4"/>
    <w:rsid w:val="00182C0D"/>
    <w:rsid w:val="001B1C21"/>
    <w:rsid w:val="001C51A6"/>
    <w:rsid w:val="001C5E14"/>
    <w:rsid w:val="001E5CEA"/>
    <w:rsid w:val="001F7865"/>
    <w:rsid w:val="00213C9E"/>
    <w:rsid w:val="00220488"/>
    <w:rsid w:val="002314EB"/>
    <w:rsid w:val="00250616"/>
    <w:rsid w:val="00256DC0"/>
    <w:rsid w:val="002A14D2"/>
    <w:rsid w:val="002A1C10"/>
    <w:rsid w:val="002C6850"/>
    <w:rsid w:val="00303744"/>
    <w:rsid w:val="0031626F"/>
    <w:rsid w:val="003241F8"/>
    <w:rsid w:val="00337366"/>
    <w:rsid w:val="003654C0"/>
    <w:rsid w:val="003B20A7"/>
    <w:rsid w:val="003C4FAF"/>
    <w:rsid w:val="003D58F2"/>
    <w:rsid w:val="003E3BD4"/>
    <w:rsid w:val="00414DE2"/>
    <w:rsid w:val="004208CF"/>
    <w:rsid w:val="004806F2"/>
    <w:rsid w:val="00495771"/>
    <w:rsid w:val="004A1FE5"/>
    <w:rsid w:val="004B1C3F"/>
    <w:rsid w:val="004B43C7"/>
    <w:rsid w:val="004C41AE"/>
    <w:rsid w:val="004E601D"/>
    <w:rsid w:val="004F3174"/>
    <w:rsid w:val="00507F54"/>
    <w:rsid w:val="00511788"/>
    <w:rsid w:val="00563D1A"/>
    <w:rsid w:val="0057099E"/>
    <w:rsid w:val="00574D01"/>
    <w:rsid w:val="00586150"/>
    <w:rsid w:val="005A3199"/>
    <w:rsid w:val="005A5981"/>
    <w:rsid w:val="005E6012"/>
    <w:rsid w:val="005F6685"/>
    <w:rsid w:val="005F740E"/>
    <w:rsid w:val="00604607"/>
    <w:rsid w:val="006055D3"/>
    <w:rsid w:val="006219FA"/>
    <w:rsid w:val="00656B31"/>
    <w:rsid w:val="00661C2C"/>
    <w:rsid w:val="00670E6C"/>
    <w:rsid w:val="00673F77"/>
    <w:rsid w:val="0067690F"/>
    <w:rsid w:val="00683256"/>
    <w:rsid w:val="006877EF"/>
    <w:rsid w:val="0069091F"/>
    <w:rsid w:val="006A3E5F"/>
    <w:rsid w:val="006C3CB7"/>
    <w:rsid w:val="006C6C1D"/>
    <w:rsid w:val="006D2230"/>
    <w:rsid w:val="006D6205"/>
    <w:rsid w:val="006E4CDE"/>
    <w:rsid w:val="006E7CBE"/>
    <w:rsid w:val="006F2836"/>
    <w:rsid w:val="006F41C9"/>
    <w:rsid w:val="0072142E"/>
    <w:rsid w:val="007225C4"/>
    <w:rsid w:val="007376FC"/>
    <w:rsid w:val="00747755"/>
    <w:rsid w:val="007548C3"/>
    <w:rsid w:val="00781984"/>
    <w:rsid w:val="007A1A08"/>
    <w:rsid w:val="007A6CDC"/>
    <w:rsid w:val="007B302A"/>
    <w:rsid w:val="007B383E"/>
    <w:rsid w:val="007C73C4"/>
    <w:rsid w:val="007D2017"/>
    <w:rsid w:val="007E12D3"/>
    <w:rsid w:val="007F0771"/>
    <w:rsid w:val="0080045E"/>
    <w:rsid w:val="0080166E"/>
    <w:rsid w:val="0080771B"/>
    <w:rsid w:val="00831DB6"/>
    <w:rsid w:val="00862886"/>
    <w:rsid w:val="008B0175"/>
    <w:rsid w:val="008B72DD"/>
    <w:rsid w:val="008D0F75"/>
    <w:rsid w:val="008D421F"/>
    <w:rsid w:val="008E1363"/>
    <w:rsid w:val="008F09C8"/>
    <w:rsid w:val="008F7570"/>
    <w:rsid w:val="009008A0"/>
    <w:rsid w:val="00921479"/>
    <w:rsid w:val="00926DFE"/>
    <w:rsid w:val="009342F1"/>
    <w:rsid w:val="00942E0D"/>
    <w:rsid w:val="00954882"/>
    <w:rsid w:val="009636D3"/>
    <w:rsid w:val="00967ED3"/>
    <w:rsid w:val="009A05F7"/>
    <w:rsid w:val="009A5BE1"/>
    <w:rsid w:val="009D176F"/>
    <w:rsid w:val="009E4B62"/>
    <w:rsid w:val="00A37ABB"/>
    <w:rsid w:val="00A47CCD"/>
    <w:rsid w:val="00A52AB8"/>
    <w:rsid w:val="00A57EC2"/>
    <w:rsid w:val="00A65D9E"/>
    <w:rsid w:val="00A86C9A"/>
    <w:rsid w:val="00A93A1A"/>
    <w:rsid w:val="00A97E71"/>
    <w:rsid w:val="00AB529A"/>
    <w:rsid w:val="00AC4852"/>
    <w:rsid w:val="00AF2240"/>
    <w:rsid w:val="00B307D0"/>
    <w:rsid w:val="00B3794F"/>
    <w:rsid w:val="00B828CC"/>
    <w:rsid w:val="00B91AAB"/>
    <w:rsid w:val="00BC42DB"/>
    <w:rsid w:val="00BE3BC0"/>
    <w:rsid w:val="00BE6037"/>
    <w:rsid w:val="00C11C53"/>
    <w:rsid w:val="00C32D9C"/>
    <w:rsid w:val="00C778CD"/>
    <w:rsid w:val="00C77DCB"/>
    <w:rsid w:val="00C81CE6"/>
    <w:rsid w:val="00CA07CB"/>
    <w:rsid w:val="00CA0A2D"/>
    <w:rsid w:val="00CB44D4"/>
    <w:rsid w:val="00CD091B"/>
    <w:rsid w:val="00CF5DA0"/>
    <w:rsid w:val="00D17DDB"/>
    <w:rsid w:val="00D23C5C"/>
    <w:rsid w:val="00D41BAF"/>
    <w:rsid w:val="00D455F3"/>
    <w:rsid w:val="00D621CA"/>
    <w:rsid w:val="00D91509"/>
    <w:rsid w:val="00DD0617"/>
    <w:rsid w:val="00DE3BAA"/>
    <w:rsid w:val="00E06454"/>
    <w:rsid w:val="00E07C2A"/>
    <w:rsid w:val="00E203E5"/>
    <w:rsid w:val="00E24CAC"/>
    <w:rsid w:val="00E37DD7"/>
    <w:rsid w:val="00E4274A"/>
    <w:rsid w:val="00E568B7"/>
    <w:rsid w:val="00E6100A"/>
    <w:rsid w:val="00E61AD8"/>
    <w:rsid w:val="00E81E2E"/>
    <w:rsid w:val="00E93119"/>
    <w:rsid w:val="00E938E7"/>
    <w:rsid w:val="00EA0D74"/>
    <w:rsid w:val="00EA55E6"/>
    <w:rsid w:val="00EA6D78"/>
    <w:rsid w:val="00EB3B46"/>
    <w:rsid w:val="00EC6CFF"/>
    <w:rsid w:val="00EE6F63"/>
    <w:rsid w:val="00F026C3"/>
    <w:rsid w:val="00F028FF"/>
    <w:rsid w:val="00F0378C"/>
    <w:rsid w:val="00F266DA"/>
    <w:rsid w:val="00F37561"/>
    <w:rsid w:val="00F46BE3"/>
    <w:rsid w:val="00F6448F"/>
    <w:rsid w:val="00F66220"/>
    <w:rsid w:val="00F7701D"/>
    <w:rsid w:val="00FB5284"/>
    <w:rsid w:val="00FE0CC0"/>
    <w:rsid w:val="00FE2EDC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78C"/>
  <w15:chartTrackingRefBased/>
  <w15:docId w15:val="{C9DA8DA0-6641-4A15-811B-563AF30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6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0D2D61"/>
  </w:style>
  <w:style w:type="paragraph" w:customStyle="1" w:styleId="Znak1">
    <w:name w:val="Znak1"/>
    <w:basedOn w:val="Normalny"/>
    <w:rsid w:val="00E568B7"/>
    <w:pPr>
      <w:tabs>
        <w:tab w:val="left" w:pos="709"/>
      </w:tabs>
      <w:suppressAutoHyphens/>
      <w:spacing w:after="0" w:line="36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warheader">
    <w:name w:val="war_header"/>
    <w:basedOn w:val="Domylnaczcionkaakapitu"/>
    <w:rsid w:val="002A14D2"/>
  </w:style>
  <w:style w:type="paragraph" w:customStyle="1" w:styleId="ng-scope">
    <w:name w:val="ng-scope"/>
    <w:basedOn w:val="Normalny"/>
    <w:rsid w:val="009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6D3"/>
    <w:rPr>
      <w:b/>
      <w:bCs/>
    </w:rPr>
  </w:style>
  <w:style w:type="character" w:customStyle="1" w:styleId="ng-binding">
    <w:name w:val="ng-binding"/>
    <w:basedOn w:val="Domylnaczcionkaakapitu"/>
    <w:rsid w:val="009636D3"/>
  </w:style>
  <w:style w:type="character" w:customStyle="1" w:styleId="ng-scope1">
    <w:name w:val="ng-scope1"/>
    <w:basedOn w:val="Domylnaczcionkaakapitu"/>
    <w:rsid w:val="009636D3"/>
  </w:style>
  <w:style w:type="paragraph" w:customStyle="1" w:styleId="text-justify">
    <w:name w:val="text-justify"/>
    <w:basedOn w:val="Normalny"/>
    <w:rsid w:val="009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3C9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A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AD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21CA"/>
    <w:rPr>
      <w:i/>
      <w:iCs/>
    </w:rPr>
  </w:style>
  <w:style w:type="character" w:customStyle="1" w:styleId="m-8590045634225113414gmail-m7722005834148008297m94429499892552187s26">
    <w:name w:val="m_-8590045634225113414gmail-m_7722005834148008297m_94429499892552187s26"/>
    <w:basedOn w:val="Domylnaczcionkaakapitu"/>
    <w:rsid w:val="007B383E"/>
  </w:style>
  <w:style w:type="character" w:customStyle="1" w:styleId="m-8590045634225113414gmail-m7722005834148008297m94429499892552187bumpedfont15">
    <w:name w:val="m_-8590045634225113414gmail-m_7722005834148008297m_94429499892552187bumpedfont15"/>
    <w:basedOn w:val="Domylnaczcionkaakapitu"/>
    <w:rsid w:val="007B383E"/>
  </w:style>
  <w:style w:type="paragraph" w:customStyle="1" w:styleId="m-8590045634225113414gmail-m7722005834148008297m94429499892552187s32">
    <w:name w:val="m_-8590045634225113414gmail-m_7722005834148008297m_94429499892552187s32"/>
    <w:basedOn w:val="Normalny"/>
    <w:rsid w:val="007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90045634225113414gmail-msolistparagraph">
    <w:name w:val="m_-8590045634225113414gmail-msolistparagraph"/>
    <w:basedOn w:val="Normalny"/>
    <w:rsid w:val="007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8590045634225113414gmail-m7722005834148008297s26">
    <w:name w:val="m_-8590045634225113414gmail-m_7722005834148008297s26"/>
    <w:basedOn w:val="Domylnaczcionkaakapitu"/>
    <w:rsid w:val="007B383E"/>
  </w:style>
  <w:style w:type="character" w:customStyle="1" w:styleId="m-8590045634225113414gmail-m7722005834148008297bumpedfont15">
    <w:name w:val="m_-8590045634225113414gmail-m_7722005834148008297bumpedfont15"/>
    <w:basedOn w:val="Domylnaczcionkaakapitu"/>
    <w:rsid w:val="007B383E"/>
  </w:style>
  <w:style w:type="paragraph" w:customStyle="1" w:styleId="m-8590045634225113414gmail-m7722005834148008297s32">
    <w:name w:val="m_-8590045634225113414gmail-m_7722005834148008297s32"/>
    <w:basedOn w:val="Normalny"/>
    <w:rsid w:val="007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2015005065745951858msolistparagraph">
    <w:name w:val="m_-2015005065745951858msolistparagraph"/>
    <w:basedOn w:val="Normalny"/>
    <w:rsid w:val="00F7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8815012518223315906info-list-value-uzasadnienie">
    <w:name w:val="m_8815012518223315906info-list-value-uzasadnienie"/>
    <w:basedOn w:val="Domylnaczcionkaakapitu"/>
    <w:rsid w:val="00337366"/>
  </w:style>
  <w:style w:type="character" w:customStyle="1" w:styleId="m552466814756039662bumpedfont15">
    <w:name w:val="m_552466814756039662bumpedfont15"/>
    <w:basedOn w:val="Domylnaczcionkaakapitu"/>
    <w:rsid w:val="00661C2C"/>
  </w:style>
  <w:style w:type="paragraph" w:customStyle="1" w:styleId="m-6298315457762116456msolistparagraph">
    <w:name w:val="m_-6298315457762116456msolistparagraph"/>
    <w:basedOn w:val="Normalny"/>
    <w:rsid w:val="004F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9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2067443012361845724gmail-info-list-value-uzasadnienie">
    <w:name w:val="m_2067443012361845724gmail-info-list-value-uzasadnienie"/>
    <w:basedOn w:val="Domylnaczcionkaakapitu"/>
    <w:rsid w:val="00E61AD8"/>
  </w:style>
  <w:style w:type="paragraph" w:customStyle="1" w:styleId="m882755008882677999gmail-msolistparagraph">
    <w:name w:val="m_882755008882677999gmail-msolistparagraph"/>
    <w:basedOn w:val="Normalny"/>
    <w:rsid w:val="0025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vl">
    <w:name w:val="navl"/>
    <w:basedOn w:val="Domylnaczcionkaakapitu"/>
    <w:rsid w:val="003D58F2"/>
  </w:style>
  <w:style w:type="paragraph" w:customStyle="1" w:styleId="Default">
    <w:name w:val="Default"/>
    <w:rsid w:val="00574D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C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C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5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-7270301896201398044m7291707789900334978titlestyle">
    <w:name w:val="m_-7270301896201398044m_7291707789900334978titlestyle"/>
    <w:basedOn w:val="Normalny"/>
    <w:rsid w:val="001E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2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3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02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0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yna.jakubowska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umk.pl/osf/konferencje/torunski-przeglad-orzecznictwa-podatkowego/2019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xeveres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umk.pl/osf/konferencje/torunski-przeglad-orzecznictwa-podatkowego/2019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2FCC-D058-4007-835B-022353F9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5</cp:revision>
  <dcterms:created xsi:type="dcterms:W3CDTF">2019-02-07T08:02:00Z</dcterms:created>
  <dcterms:modified xsi:type="dcterms:W3CDTF">2019-02-11T17:03:00Z</dcterms:modified>
</cp:coreProperties>
</file>